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0AC6" w14:textId="77777777" w:rsidR="00167AED" w:rsidRDefault="00000000">
      <w:pPr>
        <w:spacing w:before="67"/>
        <w:ind w:left="482" w:right="5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вкладов в сигнал в детекторе реакторных антинейтрино</w:t>
      </w:r>
      <w:r>
        <w:rPr>
          <w:rFonts w:ascii="Times New Roman" w:hAnsi="Times New Roman" w:cs="Times New Roman"/>
          <w:b/>
          <w:sz w:val="24"/>
          <w:szCs w:val="24"/>
        </w:rPr>
        <w:br/>
        <w:t>от разных источников на АЭС</w:t>
      </w:r>
    </w:p>
    <w:p w14:paraId="0DFE46F1" w14:textId="77777777" w:rsidR="00167AED" w:rsidRDefault="00000000">
      <w:pPr>
        <w:spacing w:before="67"/>
        <w:ind w:left="482" w:right="570"/>
        <w:jc w:val="center"/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Прокопенко А. А.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 Громов М. Б.</w:t>
      </w:r>
      <w:r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2,3</w:t>
      </w:r>
    </w:p>
    <w:p w14:paraId="6EF44C83" w14:textId="77777777" w:rsidR="00167AED" w:rsidRDefault="00000000">
      <w:pPr>
        <w:spacing w:before="16"/>
        <w:ind w:right="8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6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Московский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университет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имени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М. В. Ломоносова,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физический </w:t>
      </w:r>
      <w:r>
        <w:rPr>
          <w:rFonts w:ascii="Times New Roman" w:hAnsi="Times New Roman" w:cs="Times New Roman"/>
          <w:i/>
          <w:sz w:val="24"/>
          <w:szCs w:val="24"/>
        </w:rPr>
        <w:t>факультет, Москва, Россия</w:t>
      </w:r>
    </w:p>
    <w:p w14:paraId="2D2829F0" w14:textId="77777777" w:rsidR="00167AED" w:rsidRDefault="00000000">
      <w:pPr>
        <w:spacing w:before="16"/>
        <w:ind w:right="8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Научно-исследовательский институт ядерной физики имени Д. В. Скобельцына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Московского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университета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имени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М. В. Ломоносова</w:t>
      </w:r>
      <w:r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78DDA8D6" w14:textId="77777777" w:rsidR="00167AED" w:rsidRDefault="00000000">
      <w:pPr>
        <w:spacing w:before="16"/>
        <w:ind w:right="8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Объединенный институт ядерных исследований, Дубна, Россия</w:t>
      </w:r>
    </w:p>
    <w:p w14:paraId="6AA312F9" w14:textId="77777777" w:rsidR="00167AED" w:rsidRDefault="00000000">
      <w:pPr>
        <w:ind w:right="94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w w:val="90"/>
          <w:sz w:val="24"/>
          <w:szCs w:val="24"/>
          <w:lang w:val="en-US"/>
        </w:rPr>
        <w:t>E–mail:</w:t>
      </w:r>
      <w:r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hyperlink r:id="rId7">
        <w:r>
          <w:rPr>
            <w:rFonts w:ascii="Times New Roman" w:hAnsi="Times New Roman" w:cs="Times New Roman"/>
            <w:i/>
            <w:spacing w:val="-2"/>
            <w:w w:val="95"/>
            <w:sz w:val="24"/>
            <w:szCs w:val="24"/>
            <w:lang w:val="en-US"/>
          </w:rPr>
          <w:t>prokopenko.aa22@physics.msu.ru</w:t>
        </w:r>
      </w:hyperlink>
    </w:p>
    <w:p w14:paraId="0D1BD6C4" w14:textId="77777777" w:rsidR="00167AED" w:rsidRDefault="00167AED">
      <w:pPr>
        <w:pStyle w:val="a5"/>
        <w:spacing w:before="2"/>
        <w:rPr>
          <w:rFonts w:ascii="Times New Roman" w:hAnsi="Times New Roman" w:cs="Times New Roman"/>
          <w:i/>
          <w:lang w:val="en-US"/>
        </w:rPr>
      </w:pPr>
    </w:p>
    <w:p w14:paraId="000ADDCC" w14:textId="77777777" w:rsidR="00167AED" w:rsidRDefault="00000000">
      <w:pPr>
        <w:pStyle w:val="a5"/>
        <w:ind w:left="23" w:right="111" w:firstLine="358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Для обеспечения высокой точности в определении исходного спектра антинейтрино в экспериментах с реакторными антинейтрино, таких как JUNO, используются ближние детекторы. В частности, получение точного модельно-независимого исходного спектра играет важную роль в задаче определения иерархии нейтринных масс. В этом контексте вклад отработавшего ядерного топлива (ОЯТ) может внести дополнительную систематическую погрешность в измерение спектра. Целями данной работы являются определение масштаба этой погрешности и оценка необходимости её снижения. </w:t>
      </w:r>
    </w:p>
    <w:p w14:paraId="3BEB7E40" w14:textId="77777777" w:rsidR="00167AED" w:rsidRDefault="00000000">
      <w:pPr>
        <w:pStyle w:val="a5"/>
        <w:ind w:left="23" w:right="111" w:firstLine="358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В общем случае антинейтринный сигнал может поступать от нескольких реакторов и бассейнов с ОЯТ. В данной работе оценивается вклад одного бассейна с отработавшим ядерным топливом в общий нейтринный поток, регистрируемый условным ближним детектором. Рассматриваемая конфигурация приближенна к случаю ближнего детектора </w:t>
      </w:r>
      <w:r>
        <w:rPr>
          <w:rFonts w:ascii="Times New Roman" w:hAnsi="Times New Roman" w:cs="Times New Roman"/>
          <w:spacing w:val="-2"/>
          <w:lang w:val="en-US"/>
        </w:rPr>
        <w:t>TAO</w:t>
      </w:r>
      <w:r>
        <w:rPr>
          <w:rFonts w:ascii="Times New Roman" w:hAnsi="Times New Roman" w:cs="Times New Roman"/>
          <w:spacing w:val="-2"/>
        </w:rPr>
        <w:t xml:space="preserve"> в эксперименте </w:t>
      </w:r>
      <w:r>
        <w:rPr>
          <w:rFonts w:ascii="Times New Roman" w:hAnsi="Times New Roman" w:cs="Times New Roman"/>
          <w:spacing w:val="-2"/>
          <w:lang w:val="en-US"/>
        </w:rPr>
        <w:t>JUNO</w:t>
      </w:r>
      <w:r>
        <w:rPr>
          <w:rFonts w:ascii="Times New Roman" w:hAnsi="Times New Roman" w:cs="Times New Roman"/>
          <w:spacing w:val="-2"/>
        </w:rPr>
        <w:t xml:space="preserve"> и включает два водо-водяных ядерных реактора типа </w:t>
      </w:r>
      <w:r>
        <w:rPr>
          <w:rFonts w:ascii="Times New Roman" w:hAnsi="Times New Roman" w:cs="Times New Roman"/>
          <w:spacing w:val="-2"/>
          <w:lang w:val="en-US"/>
        </w:rPr>
        <w:t>EPR</w:t>
      </w:r>
      <w:r>
        <w:rPr>
          <w:rFonts w:ascii="Times New Roman" w:hAnsi="Times New Roman" w:cs="Times New Roman"/>
          <w:spacing w:val="-2"/>
        </w:rPr>
        <w:t>: ближний (на расстоянии 44 м от детектора) и дальний (на расстоянии 217 м), а также бассейн с ОЯТ ближнего реактора (предположительно, также на расстоянии 44 м от детектора).  Тепловая мощность каждого из реакторов принимается равной 4590 МВт.</w:t>
      </w:r>
    </w:p>
    <w:p w14:paraId="54573E5C" w14:textId="77777777" w:rsidR="00167AED" w:rsidRDefault="00000000">
      <w:pPr>
        <w:pStyle w:val="a5"/>
        <w:ind w:left="23" w:right="111" w:firstLine="358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Антинейтрино в детекторе регистрируются с помощью реакции обратного бета-распада. Ожидаемое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количество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>событий,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происходящих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>в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детекторе,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>было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вычислено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>с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ис</w:t>
      </w:r>
      <w:r>
        <w:rPr>
          <w:rFonts w:ascii="Times New Roman" w:hAnsi="Times New Roman" w:cs="Times New Roman"/>
        </w:rPr>
        <w:t>пользованием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следующей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формулы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[1]:</w:t>
      </w:r>
    </w:p>
    <w:p w14:paraId="3200201F" w14:textId="77777777" w:rsidR="00167AED" w:rsidRDefault="00167AED">
      <w:pPr>
        <w:pStyle w:val="a5"/>
        <w:rPr>
          <w:rFonts w:ascii="Times New Roman" w:hAnsi="Times New Roman" w:cs="Times New Roman"/>
        </w:rPr>
      </w:pPr>
    </w:p>
    <w:p w14:paraId="49DD10CA" w14:textId="77777777" w:rsidR="00167AED" w:rsidRDefault="00000000">
      <w:pPr>
        <w:pStyle w:val="a5"/>
        <w:rPr>
          <w:rFonts w:ascii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реак</m:t>
              </m:r>
            </m:sub>
          </m:sSub>
          <m:r>
            <w:rPr>
              <w:rFonts w:ascii="Cambria Math" w:hAnsi="Cambria Math" w:cs="Times New Roman"/>
            </w:rPr>
            <m:t>= ϵ(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ν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e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>)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w:rPr>
                  <w:rFonts w:ascii="Cambria Math" w:hAnsi="Cambria Math" w:cs="Times New Roman"/>
                </w:rPr>
                <m:t>p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m=1</m:t>
              </m:r>
            </m:sub>
            <m:sup>
              <m:r>
                <w:rPr>
                  <w:rFonts w:ascii="Cambria Math" w:hAnsi="Cambria Math" w:cs="Times New Roman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π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</m:den>
              </m:f>
            </m:e>
          </m:nary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e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ν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</w:rPr>
                <m:t>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ОБР</m:t>
                  </m:r>
                </m:sub>
              </m:sSub>
              <m:r>
                <w:rPr>
                  <w:rFonts w:ascii="Cambria Math" w:hAnsi="Cambria Math" w:cs="Times New Roman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ν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</w:rPr>
                <m:t>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ψ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b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e</m:t>
                              </m:r>
                            </m:sub>
                          </m:sSub>
                        </m:e>
                      </m:acc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 xml:space="preserve"> 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ν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>,</m:t>
          </m:r>
        </m:oMath>
      </m:oMathPara>
    </w:p>
    <w:p w14:paraId="40D9F2D2" w14:textId="77777777" w:rsidR="00167AED" w:rsidRDefault="00000000">
      <w:pPr>
        <w:pStyle w:val="a5"/>
        <w:rPr>
          <w:rFonts w:ascii="Times New Roman" w:hAnsi="Times New Roman" w:cs="Times New Roman"/>
          <w:i/>
        </w:rPr>
        <w:sectPr w:rsidR="00167AED">
          <w:headerReference w:type="default" r:id="rId8"/>
          <w:footerReference w:type="default" r:id="rId9"/>
          <w:type w:val="continuous"/>
          <w:pgSz w:w="11910" w:h="16840"/>
          <w:pgMar w:top="1134" w:right="1361" w:bottom="1259" w:left="1361" w:header="0" w:footer="1990" w:gutter="0"/>
          <w:pgNumType w:start="1"/>
          <w:cols w:space="720"/>
        </w:sectPr>
      </w:pPr>
      <m:oMathPara>
        <m:oMath>
          <m:r>
            <w:rPr>
              <w:rFonts w:ascii="Cambria Math" w:hAnsi="Cambria Math" w:cs="Times New Roman"/>
            </w:rPr>
            <m:t xml:space="preserve"> </m:t>
          </m:r>
        </m:oMath>
      </m:oMathPara>
    </w:p>
    <w:p w14:paraId="0445292D" w14:textId="77777777" w:rsidR="00167AED" w:rsidRDefault="00000000">
      <w:pPr>
        <w:pStyle w:val="a5"/>
        <w:spacing w:before="90"/>
        <w:ind w:left="23" w:right="111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где индекс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определяет номер реактора или бассейна с ОЯТ,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– суммарное количество учитываемых при расчёте реакторов и бассейнов,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m</m:t>
            </m:r>
          </m:sub>
        </m:sSub>
      </m:oMath>
      <w:r>
        <w:rPr>
          <w:rFonts w:ascii="Times New Roman" w:hAnsi="Times New Roman" w:cs="Times New Roman"/>
        </w:rPr>
        <w:t xml:space="preserve"> - расстояние до источника частиц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ee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sub>
                    </m:sSub>
                  </m:e>
                </m:acc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</w:rPr>
                  <m:t>m</m:t>
                </m:r>
              </m:sub>
            </m:sSub>
          </m:e>
        </m:d>
      </m:oMath>
      <w:r>
        <w:rPr>
          <w:rFonts w:ascii="Times New Roman" w:hAnsi="Times New Roman" w:cs="Times New Roman"/>
        </w:rPr>
        <w:t xml:space="preserve"> - вероятность выживания электронного антинейтрино с энергией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ν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e</m:t>
                    </m:r>
                  </m:sub>
                </m:sSub>
              </m:e>
            </m:acc>
          </m:sub>
        </m:sSub>
      </m:oMath>
      <w:r>
        <w:rPr>
          <w:rFonts w:ascii="Times New Roman" w:hAnsi="Times New Roman" w:cs="Times New Roman"/>
        </w:rPr>
        <w:t xml:space="preserve">, испущенного реактором </w:t>
      </w:r>
      <w:r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 xml:space="preserve">, отстоящим на расстоянии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>
        <w:rPr>
          <w:rFonts w:ascii="Times New Roman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ОБР</m:t>
            </m:r>
          </m:sub>
        </m:sSub>
      </m:oMath>
      <w:r>
        <w:rPr>
          <w:rFonts w:ascii="Times New Roman" w:hAnsi="Times New Roman" w:cs="Times New Roman"/>
        </w:rPr>
        <w:t xml:space="preserve"> - сечение обратного β-распада, </w:t>
      </w:r>
      <m:oMath>
        <m:r>
          <w:rPr>
            <w:rFonts w:ascii="Cambria Math" w:hAnsi="Cambria Math" w:cs="Times New Roman"/>
          </w:rPr>
          <m:t>ϵ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sub>
                    </m:sSub>
                  </m:e>
                </m:acc>
              </m:sub>
            </m:sSub>
          </m:e>
        </m:d>
        <m:r>
          <w:rPr>
            <w:rFonts w:ascii="Cambria Math" w:hAnsi="Cambria Math" w:cs="Times New Roman"/>
          </w:rPr>
          <m:t xml:space="preserve"> = 0,85 </m:t>
        </m:r>
      </m:oMath>
      <w:r>
        <w:rPr>
          <w:rFonts w:ascii="Times New Roman" w:hAnsi="Times New Roman" w:cs="Times New Roman"/>
        </w:rPr>
        <w:t xml:space="preserve"> - эффективность регистрации антинейтрино,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N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7,5⋅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28</m:t>
            </m:r>
          </m:sup>
        </m:sSup>
      </m:oMath>
      <w:r>
        <w:rPr>
          <w:rFonts w:ascii="Times New Roman" w:hAnsi="Times New Roman" w:cs="Times New Roman"/>
        </w:rPr>
        <w:t xml:space="preserve"> - число протонов в мишени,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ψ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sub>
                    </m:sSub>
                  </m:e>
                </m:acc>
              </m:sub>
            </m:sSub>
          </m:e>
        </m:d>
      </m:oMath>
      <w:r>
        <w:rPr>
          <w:rFonts w:ascii="Times New Roman" w:hAnsi="Times New Roman" w:cs="Times New Roman"/>
        </w:rPr>
        <w:t xml:space="preserve"> - спектр реакторных антинейтрино или спектр ОЯТ. При этом спектр реакторных антинейтрино вычислялся, следуя процедуре, </w:t>
      </w:r>
      <w:r>
        <w:rPr>
          <w:rFonts w:ascii="Times New Roman" w:hAnsi="Times New Roman" w:cs="Times New Roman"/>
          <w:color w:val="000000" w:themeColor="text1"/>
        </w:rPr>
        <w:t>описанной в работе [8], а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спектры для ОЯТ интегрированы из статьи [3].</w:t>
      </w:r>
    </w:p>
    <w:p w14:paraId="6C495061" w14:textId="77777777" w:rsidR="00167AED" w:rsidRDefault="00000000">
      <w:pPr>
        <w:pStyle w:val="a5"/>
        <w:ind w:left="23" w:right="111" w:firstLine="35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Расчёты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учитывают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циклическую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перегрузку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топлива,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проводимую для реакторов </w:t>
      </w:r>
      <w:r>
        <w:rPr>
          <w:rFonts w:ascii="Times New Roman" w:hAnsi="Times New Roman" w:cs="Times New Roman"/>
          <w:lang w:val="en-US"/>
        </w:rPr>
        <w:t>EPR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каждые 18-24 месяца. В данной работе рассматривается интервал в 24 месяца. Объём единичной выгрузки топлива из реактора принят равным 50 MTU (Metric Ton of Uranium) и составляет треть от общего объёма топлива в реакторе.</w:t>
      </w:r>
    </w:p>
    <w:p w14:paraId="539D7972" w14:textId="77777777" w:rsidR="00167AED" w:rsidRDefault="00000000">
      <w:pPr>
        <w:pStyle w:val="a5"/>
        <w:ind w:left="23" w:right="111" w:firstLine="3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Вклад бассейна рассматривается в энергетическом интервале от 1,806 МэВ (порог </w:t>
      </w:r>
      <w:r>
        <w:rPr>
          <w:rFonts w:ascii="Times New Roman" w:hAnsi="Times New Roman" w:cs="Times New Roman"/>
        </w:rPr>
        <w:lastRenderedPageBreak/>
        <w:t xml:space="preserve">реакции обратного β-распада) до 3,8 МэВ, где происходит обрыв спектра ОЯТ. </w:t>
      </w:r>
      <w:r>
        <w:rPr>
          <w:rFonts w:ascii="Times New Roman" w:hAnsi="Times New Roman" w:cs="Times New Roman"/>
          <w:spacing w:val="-2"/>
        </w:rPr>
        <w:t>На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рисунке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>1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представлена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>зависимость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доли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>сигнала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от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>бассейна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с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>ОЯТ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относительно </w:t>
      </w:r>
      <w:r>
        <w:rPr>
          <w:rFonts w:ascii="Times New Roman" w:hAnsi="Times New Roman" w:cs="Times New Roman"/>
          <w:spacing w:val="-4"/>
        </w:rPr>
        <w:t xml:space="preserve">полного сигнала, показанная в зависимости от времени хранения и соответствующего </w:t>
      </w:r>
      <w:r>
        <w:rPr>
          <w:rFonts w:ascii="Times New Roman" w:hAnsi="Times New Roman" w:cs="Times New Roman"/>
        </w:rPr>
        <w:t>ему уровня заполненности бассейна.</w:t>
      </w:r>
    </w:p>
    <w:p w14:paraId="5B48ECF2" w14:textId="09011F57" w:rsidR="00167AED" w:rsidRDefault="00000000">
      <w:pPr>
        <w:pStyle w:val="a5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На основе проведённой оценки установлено, что вклад ОЯТ в низкоэнергетическую часть спектра в отдельные моменты времени может достигать </w:t>
      </w:r>
      <w:r w:rsidR="00EF6C43">
        <w:rPr>
          <w:rFonts w:ascii="Times New Roman" w:hAnsi="Times New Roman" w:cs="Times New Roman"/>
        </w:rPr>
        <w:t>более чем 0</w:t>
      </w:r>
      <w:r w:rsidR="00EF6C43" w:rsidRPr="00EF6C43">
        <w:rPr>
          <w:rFonts w:ascii="Times New Roman" w:hAnsi="Times New Roman" w:cs="Times New Roman"/>
        </w:rPr>
        <w:t>,8%</w:t>
      </w:r>
      <w:r>
        <w:rPr>
          <w:rFonts w:ascii="Times New Roman" w:hAnsi="Times New Roman" w:cs="Times New Roman"/>
        </w:rPr>
        <w:t xml:space="preserve"> процентов</w:t>
      </w:r>
      <w:r w:rsidR="00EF6C43" w:rsidRPr="00EF6C43">
        <w:rPr>
          <w:rFonts w:ascii="Times New Roman" w:hAnsi="Times New Roman" w:cs="Times New Roman"/>
        </w:rPr>
        <w:t xml:space="preserve"> </w:t>
      </w:r>
      <w:r w:rsidR="00EF6C43">
        <w:rPr>
          <w:rFonts w:ascii="Times New Roman" w:hAnsi="Times New Roman" w:cs="Times New Roman"/>
        </w:rPr>
        <w:t>от общего сигнала</w:t>
      </w:r>
      <w:r>
        <w:rPr>
          <w:rFonts w:ascii="Times New Roman" w:hAnsi="Times New Roman" w:cs="Times New Roman"/>
        </w:rPr>
        <w:t>. Для сравнения порядка величины, в эксперименте JUNO ожидается общая ошибка порядка 2,5%. Следовательно, этот фактор необходимо учитывать при измерении исходного спектра антинейтрино от реактора.</w:t>
      </w:r>
    </w:p>
    <w:p w14:paraId="17B6D449" w14:textId="77777777" w:rsidR="00167AED" w:rsidRDefault="00000000">
      <w:pPr>
        <w:pStyle w:val="a5"/>
        <w:spacing w:before="221"/>
        <w:ind w:left="263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25B8E08" wp14:editId="0B1C1464">
            <wp:extent cx="4998566" cy="2749211"/>
            <wp:effectExtent l="0" t="0" r="0" b="0"/>
            <wp:docPr id="448926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26843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566" cy="274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5BFABC39" w14:textId="77777777" w:rsidR="00167AED" w:rsidRDefault="00000000">
      <w:pPr>
        <w:pStyle w:val="a5"/>
        <w:spacing w:before="221"/>
        <w:ind w:left="263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Рис. 1: Доля сигнала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от бассейна 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ОЯТ в зависимости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от времени его </w:t>
      </w:r>
      <w:r>
        <w:rPr>
          <w:rFonts w:ascii="Times New Roman" w:hAnsi="Times New Roman" w:cs="Times New Roman"/>
          <w:spacing w:val="-2"/>
        </w:rPr>
        <w:t>хранения</w:t>
      </w:r>
    </w:p>
    <w:p w14:paraId="3D13D064" w14:textId="77777777" w:rsidR="00167AED" w:rsidRDefault="00167AED">
      <w:pPr>
        <w:pStyle w:val="a5"/>
        <w:spacing w:before="221"/>
        <w:ind w:left="263"/>
        <w:jc w:val="center"/>
        <w:rPr>
          <w:rFonts w:ascii="Times New Roman" w:hAnsi="Times New Roman" w:cs="Times New Roman"/>
          <w:spacing w:val="-2"/>
        </w:rPr>
      </w:pPr>
    </w:p>
    <w:p w14:paraId="3C2E6591" w14:textId="77777777" w:rsidR="00167AED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литературы</w:t>
      </w:r>
    </w:p>
    <w:p w14:paraId="5AFB5254" w14:textId="77777777" w:rsidR="00167AED" w:rsidRDefault="00000000">
      <w:pPr>
        <w:pStyle w:val="a7"/>
        <w:numPr>
          <w:ilvl w:val="0"/>
          <w:numId w:val="1"/>
        </w:numPr>
        <w:tabs>
          <w:tab w:val="left" w:pos="567"/>
        </w:tabs>
        <w:spacing w:before="231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Baldoncini M. Reference worldwide model for antineutrinos from reactors. 2015.</w:t>
      </w:r>
    </w:p>
    <w:p w14:paraId="76923482" w14:textId="77777777" w:rsidR="00167AED" w:rsidRDefault="00000000">
      <w:pPr>
        <w:pStyle w:val="a7"/>
        <w:numPr>
          <w:ilvl w:val="0"/>
          <w:numId w:val="1"/>
        </w:numPr>
        <w:tabs>
          <w:tab w:val="left" w:pos="567"/>
        </w:tabs>
        <w:spacing w:before="231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Bellini G. Observation of geo-neutrinos. 2010.</w:t>
      </w:r>
    </w:p>
    <w:p w14:paraId="61F550D1" w14:textId="77777777" w:rsidR="00167AED" w:rsidRDefault="00000000">
      <w:pPr>
        <w:pStyle w:val="a7"/>
        <w:numPr>
          <w:ilvl w:val="0"/>
          <w:numId w:val="1"/>
        </w:numPr>
        <w:tabs>
          <w:tab w:val="left" w:pos="567"/>
        </w:tabs>
        <w:spacing w:before="231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Brdar V. Antineutrino monitoring of spent nuclear fuel. 2017.</w:t>
      </w:r>
    </w:p>
    <w:p w14:paraId="1B2A49DB" w14:textId="77777777" w:rsidR="00167AED" w:rsidRDefault="00000000">
      <w:pPr>
        <w:pStyle w:val="a7"/>
        <w:numPr>
          <w:ilvl w:val="0"/>
          <w:numId w:val="1"/>
        </w:numPr>
        <w:tabs>
          <w:tab w:val="left" w:pos="567"/>
        </w:tabs>
        <w:spacing w:before="231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Cao J. An overview of the Daya Bay Reactor Neutrino Experiment. 2016.</w:t>
      </w:r>
    </w:p>
    <w:p w14:paraId="40600790" w14:textId="77777777" w:rsidR="00167AED" w:rsidRDefault="00000000">
      <w:pPr>
        <w:pStyle w:val="a7"/>
        <w:numPr>
          <w:ilvl w:val="0"/>
          <w:numId w:val="1"/>
        </w:numPr>
        <w:tabs>
          <w:tab w:val="left" w:pos="567"/>
        </w:tabs>
        <w:spacing w:before="23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JUNO collaboration. TAO conceptual design report. </w:t>
      </w:r>
      <w:r>
        <w:rPr>
          <w:rFonts w:ascii="Times New Roman" w:hAnsi="Times New Roman" w:cs="Times New Roman"/>
          <w:sz w:val="24"/>
          <w:szCs w:val="24"/>
        </w:rPr>
        <w:t>2020.</w:t>
      </w:r>
    </w:p>
    <w:p w14:paraId="3F0EF136" w14:textId="77777777" w:rsidR="00167AED" w:rsidRDefault="00000000">
      <w:pPr>
        <w:pStyle w:val="a7"/>
        <w:numPr>
          <w:ilvl w:val="0"/>
          <w:numId w:val="1"/>
        </w:numPr>
        <w:tabs>
          <w:tab w:val="left" w:pos="567"/>
        </w:tabs>
        <w:spacing w:before="231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 X.B. Antineutrino flux and spectrum calculation for spent nuclear fuel for the Daya Bay antineutrino experiment. 2017.</w:t>
      </w:r>
    </w:p>
    <w:p w14:paraId="3B486C8D" w14:textId="77777777" w:rsidR="00167AED" w:rsidRDefault="00000000">
      <w:pPr>
        <w:pStyle w:val="a7"/>
        <w:numPr>
          <w:ilvl w:val="0"/>
          <w:numId w:val="1"/>
        </w:numPr>
        <w:tabs>
          <w:tab w:val="left" w:pos="567"/>
        </w:tabs>
        <w:spacing w:before="231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 X.B. Improved calculation of the energy release in neutron-induced fission. 2013.</w:t>
      </w:r>
    </w:p>
    <w:p w14:paraId="64791F15" w14:textId="77777777" w:rsidR="00167AED" w:rsidRDefault="00000000">
      <w:pPr>
        <w:pStyle w:val="a7"/>
        <w:numPr>
          <w:ilvl w:val="0"/>
          <w:numId w:val="1"/>
        </w:numPr>
        <w:tabs>
          <w:tab w:val="left" w:pos="567"/>
        </w:tabs>
        <w:spacing w:before="231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Mueller T. A. Improved Predictions of Reactor Antineutrino Spectra. 2011.</w:t>
      </w:r>
    </w:p>
    <w:p w14:paraId="15AA5BDF" w14:textId="77777777" w:rsidR="00167AED" w:rsidRDefault="00000000">
      <w:pPr>
        <w:pStyle w:val="a7"/>
        <w:numPr>
          <w:ilvl w:val="0"/>
          <w:numId w:val="1"/>
        </w:numPr>
        <w:tabs>
          <w:tab w:val="left" w:pos="567"/>
        </w:tabs>
        <w:spacing w:before="231"/>
        <w:jc w:val="left"/>
        <w:rPr>
          <w:rFonts w:ascii="Times New Roman" w:hAnsi="Times New Roman" w:cs="Times New Roman"/>
          <w:sz w:val="24"/>
          <w:szCs w:val="24"/>
          <w:lang w:val="en-US"/>
        </w:rPr>
        <w:sectPr w:rsidR="00167AED">
          <w:type w:val="continuous"/>
          <w:pgSz w:w="11910" w:h="16840"/>
          <w:pgMar w:top="1134" w:right="1361" w:bottom="1259" w:left="1361" w:header="0" w:footer="199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>Strumia A. Precise quasielastic neutrino/nucleon cross section. 2003.</w:t>
      </w:r>
    </w:p>
    <w:p w14:paraId="43933B6D" w14:textId="77777777" w:rsidR="00167AED" w:rsidRDefault="00167AED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167AED">
      <w:pgSz w:w="11910" w:h="16840"/>
      <w:pgMar w:top="1134" w:right="1361" w:bottom="1259" w:left="1361" w:header="0" w:footer="1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A99C" w14:textId="77777777" w:rsidR="00EF5F8F" w:rsidRDefault="00EF5F8F">
      <w:r>
        <w:separator/>
      </w:r>
    </w:p>
  </w:endnote>
  <w:endnote w:type="continuationSeparator" w:id="0">
    <w:p w14:paraId="562B0892" w14:textId="77777777" w:rsidR="00EF5F8F" w:rsidRDefault="00EF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E65A" w14:textId="77777777" w:rsidR="00167AED" w:rsidRDefault="00167AED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CD3F" w14:textId="77777777" w:rsidR="00EF5F8F" w:rsidRDefault="00EF5F8F">
      <w:r>
        <w:separator/>
      </w:r>
    </w:p>
  </w:footnote>
  <w:footnote w:type="continuationSeparator" w:id="0">
    <w:p w14:paraId="76A996C8" w14:textId="77777777" w:rsidR="00EF5F8F" w:rsidRDefault="00EF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0D24" w14:textId="77777777" w:rsidR="00167AED" w:rsidRDefault="00167A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336D"/>
    <w:multiLevelType w:val="multilevel"/>
    <w:tmpl w:val="22B8336D"/>
    <w:lvl w:ilvl="0">
      <w:start w:val="1"/>
      <w:numFmt w:val="decimal"/>
      <w:lvlText w:val="%1."/>
      <w:lvlJc w:val="left"/>
      <w:pPr>
        <w:ind w:left="567" w:hanging="42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3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7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1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426"/>
      </w:pPr>
      <w:rPr>
        <w:rFonts w:hint="default"/>
        <w:lang w:val="ru-RU" w:eastAsia="en-US" w:bidi="ar-SA"/>
      </w:rPr>
    </w:lvl>
  </w:abstractNum>
  <w:num w:numId="1" w16cid:durableId="94754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895"/>
    <w:rsid w:val="000000BE"/>
    <w:rsid w:val="00010188"/>
    <w:rsid w:val="00030BE4"/>
    <w:rsid w:val="00050BEA"/>
    <w:rsid w:val="00097856"/>
    <w:rsid w:val="001170F4"/>
    <w:rsid w:val="00117C10"/>
    <w:rsid w:val="001532EF"/>
    <w:rsid w:val="00160D20"/>
    <w:rsid w:val="00167AED"/>
    <w:rsid w:val="001F0618"/>
    <w:rsid w:val="001F5F22"/>
    <w:rsid w:val="00201664"/>
    <w:rsid w:val="00264B0D"/>
    <w:rsid w:val="002C72B2"/>
    <w:rsid w:val="002F0D92"/>
    <w:rsid w:val="00303008"/>
    <w:rsid w:val="00310DD5"/>
    <w:rsid w:val="00380084"/>
    <w:rsid w:val="003853F4"/>
    <w:rsid w:val="003A6A97"/>
    <w:rsid w:val="003E45D7"/>
    <w:rsid w:val="00487B42"/>
    <w:rsid w:val="004E0E6D"/>
    <w:rsid w:val="00560ED0"/>
    <w:rsid w:val="005658D9"/>
    <w:rsid w:val="0056668C"/>
    <w:rsid w:val="005D181D"/>
    <w:rsid w:val="006021A4"/>
    <w:rsid w:val="00647BE5"/>
    <w:rsid w:val="00687761"/>
    <w:rsid w:val="006A3807"/>
    <w:rsid w:val="0071284C"/>
    <w:rsid w:val="007376B8"/>
    <w:rsid w:val="00765BCD"/>
    <w:rsid w:val="00783D61"/>
    <w:rsid w:val="007A4850"/>
    <w:rsid w:val="007C00DD"/>
    <w:rsid w:val="007D5FC0"/>
    <w:rsid w:val="00891C65"/>
    <w:rsid w:val="00915788"/>
    <w:rsid w:val="00917456"/>
    <w:rsid w:val="00927A5F"/>
    <w:rsid w:val="009649F6"/>
    <w:rsid w:val="00966412"/>
    <w:rsid w:val="00971FD8"/>
    <w:rsid w:val="00977FC8"/>
    <w:rsid w:val="009B7C5F"/>
    <w:rsid w:val="009F068B"/>
    <w:rsid w:val="009F2F9F"/>
    <w:rsid w:val="00A25895"/>
    <w:rsid w:val="00A3058F"/>
    <w:rsid w:val="00AF33D1"/>
    <w:rsid w:val="00B975E3"/>
    <w:rsid w:val="00BA5F6A"/>
    <w:rsid w:val="00BD6846"/>
    <w:rsid w:val="00BE169F"/>
    <w:rsid w:val="00BE6ED6"/>
    <w:rsid w:val="00C11D03"/>
    <w:rsid w:val="00C63609"/>
    <w:rsid w:val="00C85A16"/>
    <w:rsid w:val="00D1591F"/>
    <w:rsid w:val="00D314AC"/>
    <w:rsid w:val="00D46772"/>
    <w:rsid w:val="00D540D0"/>
    <w:rsid w:val="00D85E08"/>
    <w:rsid w:val="00DC406C"/>
    <w:rsid w:val="00DF2417"/>
    <w:rsid w:val="00E1757C"/>
    <w:rsid w:val="00E52AB4"/>
    <w:rsid w:val="00EF5F8F"/>
    <w:rsid w:val="00EF6C43"/>
    <w:rsid w:val="00F51AB0"/>
    <w:rsid w:val="00F61183"/>
    <w:rsid w:val="00FA5B4E"/>
    <w:rsid w:val="17D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C652"/>
  <w15:docId w15:val="{7EF326B2-5A14-4EC2-AB30-4905744E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pPr>
      <w:spacing w:before="116"/>
      <w:ind w:left="567" w:hanging="425"/>
    </w:pPr>
  </w:style>
  <w:style w:type="paragraph" w:customStyle="1" w:styleId="TableParagraph">
    <w:name w:val="Table Paragraph"/>
    <w:basedOn w:val="a"/>
    <w:uiPriority w:val="1"/>
    <w:qFormat/>
  </w:style>
  <w:style w:type="character" w:styleId="a8">
    <w:name w:val="Placeholder Text"/>
    <w:basedOn w:val="a0"/>
    <w:uiPriority w:val="99"/>
    <w:semiHidden/>
    <w:rPr>
      <w:color w:val="666666"/>
    </w:rPr>
  </w:style>
  <w:style w:type="character" w:customStyle="1" w:styleId="a6">
    <w:name w:val="Основной текст Знак"/>
    <w:basedOn w:val="a0"/>
    <w:link w:val="a5"/>
    <w:uiPriority w:val="1"/>
    <w:rPr>
      <w:rFonts w:ascii="Georgia" w:eastAsia="Georgia" w:hAnsi="Georgia" w:cs="Georgia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kopenko.aa22@physics.m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nnkir</dc:creator>
  <cp:lastModifiedBy>James Harris</cp:lastModifiedBy>
  <cp:revision>38</cp:revision>
  <dcterms:created xsi:type="dcterms:W3CDTF">2025-03-03T15:00:00Z</dcterms:created>
  <dcterms:modified xsi:type="dcterms:W3CDTF">2025-03-03T20:01:00Z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 XeTeX output 2025.03.01:1318</vt:lpwstr>
  </property>
  <property fmtid="{D5CDD505-2E9C-101B-9397-08002B2CF9AE}" pid="4" name="Producer">
    <vt:lpwstr>xdvipdfmx (20240305)</vt:lpwstr>
  </property>
  <property fmtid="{D5CDD505-2E9C-101B-9397-08002B2CF9AE}" pid="5" name="LastSaved">
    <vt:filetime>2025-03-01T00:00:00Z</vt:filetime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2025-03-01T13:45:34Z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56be351e-00e8-433a-8c1e-e4531a247b2f</vt:lpwstr>
  </property>
  <property fmtid="{D5CDD505-2E9C-101B-9397-08002B2CF9AE}" pid="11" name="MSIP_Label_defa4170-0d19-0005-0004-bc88714345d2_ActionId">
    <vt:lpwstr>59ae52c2-01ab-413b-a1b0-10110d9bcdeb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KSOProductBuildVer">
    <vt:lpwstr>1049-12.2.0.20323</vt:lpwstr>
  </property>
  <property fmtid="{D5CDD505-2E9C-101B-9397-08002B2CF9AE}" pid="15" name="ICV">
    <vt:lpwstr>FC0E83239F8C4850AD682D6E83A7CA7E_12</vt:lpwstr>
  </property>
</Properties>
</file>