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«Мюонная загадка» и нарушение Лоренц-инвариантности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Шарофеев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аспиран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Московский государственный университет имени М.В. Ломоносова, </w:t>
        <w:br w:type="textWrapping"/>
        <w:t xml:space="preserve">физический факультет, 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sharofeev.ak18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@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«Мюонная загадка» физики широких атмосферных ливней — расхождение между наблюдениями наземных детекторов и теоретическими предсказаниями мюонной плотности на уровне земной поверхности. Это расхождение наблюдается в некоторых экспериментах, таких как Pierre Auger Observatory, NEVOD-DECOR, SUGAR для энергии первичной частицы </w:t>
      </w:r>
      <m:oMath>
        <m:r>
          <w:rPr>
            <w:sz w:val="24"/>
            <w:szCs w:val="24"/>
          </w:rPr>
          <m:t xml:space="preserve">E ≳ 1</m:t>
        </m:r>
        <m:sSup>
          <m:sSupPr>
            <m:ctrlPr>
              <w:rPr>
                <w:sz w:val="24"/>
                <w:szCs w:val="24"/>
              </w:rPr>
            </m:ctrlPr>
          </m:sSupPr>
          <m:e>
            <m:r>
              <w:rPr>
                <w:sz w:val="24"/>
                <w:szCs w:val="24"/>
              </w:rPr>
              <m:t xml:space="preserve">0</m:t>
            </m:r>
          </m:e>
          <m:sup>
            <m:r>
              <w:rPr>
                <w:sz w:val="24"/>
                <w:szCs w:val="24"/>
              </w:rPr>
              <m:t xml:space="preserve">16</m:t>
            </m:r>
          </m:sup>
        </m:sSup>
        <m:r>
          <w:rPr>
            <w:sz w:val="24"/>
            <w:szCs w:val="24"/>
          </w:rPr>
          <m:t xml:space="preserve"> эВ</m:t>
        </m:r>
      </m:oMath>
      <w:r w:rsidDel="00000000" w:rsidR="00000000" w:rsidRPr="00000000">
        <w:rPr>
          <w:sz w:val="24"/>
          <w:szCs w:val="24"/>
          <w:rtl w:val="0"/>
        </w:rPr>
        <w:t xml:space="preserve"> [1].</w:t>
      </w:r>
    </w:p>
    <w:p w:rsidR="00000000" w:rsidDel="00000000" w:rsidP="00000000" w:rsidRDefault="00000000" w:rsidRPr="00000000" w14:paraId="00000007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докладе будет рассмотрен способ решения «мюонной загадки» посредством расширения лагранжиана Стандартной модели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ℒ</m:t>
            </m:r>
          </m:e>
          <m:sub>
            <m:r>
              <w:rPr>
                <w:sz w:val="24"/>
                <w:szCs w:val="24"/>
              </w:rPr>
              <m:t xml:space="preserve">SM</m:t>
            </m:r>
          </m:sub>
        </m:sSub>
      </m:oMath>
      <w:r w:rsidDel="00000000" w:rsidR="00000000" w:rsidRPr="00000000">
        <w:rPr>
          <w:sz w:val="24"/>
          <w:szCs w:val="24"/>
          <w:rtl w:val="0"/>
        </w:rPr>
        <w:t xml:space="preserve"> операторами более высокой размерности в секторе квантовой электродинамики, что приводит к нарушению Лоренц-инвариантности [2]. В данной теории изменяется феноменология процессов на высоких энергиях. В частности, оказывается, что подавляется сечение процесса Бете–Гайтлера — рождение электрон-позитронной пары внешним фотоном в кулоновоском поле ядра, причём это подавление имеет вид [3]</w:t>
      </w:r>
    </w:p>
    <w:p w:rsidR="00000000" w:rsidDel="00000000" w:rsidP="00000000" w:rsidRDefault="00000000" w:rsidRPr="00000000" w14:paraId="00000009">
      <w:pPr>
        <w:ind w:left="2160" w:firstLine="720"/>
        <w:jc w:val="left"/>
        <w:rPr>
          <w:sz w:val="24"/>
          <w:szCs w:val="24"/>
        </w:rPr>
      </w:pPr>
      <m:oMath>
        <m:f>
          <m:num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σ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BH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LIV</m:t>
                </m:r>
              </m:sup>
            </m:sSup>
          </m:num>
          <m:den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σ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BH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LI</m:t>
                </m:r>
              </m:sup>
            </m:sSup>
          </m:den>
        </m:f>
        <m:r>
          <w:rPr>
            <w:sz w:val="24"/>
            <w:szCs w:val="24"/>
          </w:rPr>
          <m:t xml:space="preserve">⋍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 xml:space="preserve">12 </m:t>
            </m:r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m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e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2</m:t>
                </m:r>
              </m:sup>
            </m:sSup>
            <m:r>
              <w:rPr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M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LIV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2</m:t>
                </m:r>
              </m:sup>
            </m:sSup>
          </m:num>
          <m:den>
            <m:r>
              <w:rPr>
                <w:sz w:val="24"/>
                <w:szCs w:val="24"/>
              </w:rPr>
              <m:t xml:space="preserve">7 </m:t>
            </m:r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E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γ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4</m:t>
                </m:r>
              </m:sup>
            </m:sSup>
          </m:den>
        </m:f>
        <m:r>
          <w:rPr>
            <w:sz w:val="24"/>
            <w:szCs w:val="24"/>
          </w:rPr>
          <m:t xml:space="preserve">log</m:t>
        </m:r>
        <m:f>
          <m:fPr>
            <m:ctrlPr>
              <w:rPr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E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>γ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4</m:t>
                </m:r>
              </m:sup>
            </m:sSup>
          </m:num>
          <m:den>
            <m:r>
              <w:rPr>
                <w:sz w:val="24"/>
                <w:szCs w:val="24"/>
              </w:rPr>
              <m:t xml:space="preserve">2 </m:t>
            </m:r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m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e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2</m:t>
                </m:r>
              </m:sup>
            </m:sSup>
            <m:r>
              <w:rPr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sz w:val="24"/>
                        <w:szCs w:val="24"/>
                      </w:rPr>
                      <m:t xml:space="preserve">M</m:t>
                    </m:r>
                  </m:e>
                  <m:sub>
                    <m:r>
                      <w:rPr>
                        <w:sz w:val="24"/>
                        <w:szCs w:val="24"/>
                      </w:rPr>
                      <m:t xml:space="preserve">LIV</m:t>
                    </m:r>
                  </m:sub>
                </m:sSub>
              </m:e>
              <m:sup>
                <m:r>
                  <w:rPr>
                    <w:sz w:val="24"/>
                    <w:szCs w:val="24"/>
                  </w:rPr>
                  <m:t xml:space="preserve">2</m:t>
                </m:r>
              </m:sup>
            </m:sSup>
          </m:den>
        </m:f>
        <m:r>
          <w:rPr>
            <w:sz w:val="24"/>
            <w:szCs w:val="24"/>
          </w:rPr>
          <m:t xml:space="preserve"> ~</m:t>
        </m:r>
        <m:sSup>
          <m:sSupPr>
            <m:ctrlPr>
              <w:rPr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sz w:val="24"/>
                    <w:szCs w:val="24"/>
                  </w:rPr>
                </m:ctrlPr>
              </m:sSubPr>
              <m:e>
                <m:r>
                  <w:rPr>
                    <w:sz w:val="24"/>
                    <w:szCs w:val="24"/>
                  </w:rPr>
                  <m:t xml:space="preserve">E</m:t>
                </m:r>
              </m:e>
              <m:sub>
                <m:r>
                  <w:rPr>
                    <w:sz w:val="24"/>
                    <w:szCs w:val="24"/>
                  </w:rPr>
                  <m:t>γ</m:t>
                </m:r>
              </m:sub>
            </m:sSub>
          </m:e>
          <m:sup>
            <m:r>
              <w:rPr>
                <w:sz w:val="24"/>
                <w:szCs w:val="24"/>
              </w:rPr>
              <m:t xml:space="preserve">-4</m:t>
            </m:r>
          </m:sup>
        </m:sSup>
        <m:r>
          <w:rPr>
            <w:sz w:val="24"/>
            <w:szCs w:val="24"/>
          </w:rPr>
          <m:t xml:space="preserve">log </m:t>
        </m:r>
        <m:sSup>
          <m:sSupPr>
            <m:ctrlPr>
              <w:rPr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sz w:val="24"/>
                    <w:szCs w:val="24"/>
                  </w:rPr>
                </m:ctrlPr>
              </m:sSubPr>
              <m:e>
                <m:r>
                  <w:rPr>
                    <w:sz w:val="24"/>
                    <w:szCs w:val="24"/>
                  </w:rPr>
                  <m:t xml:space="preserve">E</m:t>
                </m:r>
              </m:e>
              <m:sub>
                <m:r>
                  <w:rPr>
                    <w:sz w:val="24"/>
                    <w:szCs w:val="24"/>
                  </w:rPr>
                  <m:t>γ</m:t>
                </m:r>
              </m:sub>
            </m:sSub>
          </m:e>
          <m:sup>
            <m:r>
              <w:rPr>
                <w:sz w:val="24"/>
                <w:szCs w:val="24"/>
              </w:rPr>
              <m:t xml:space="preserve">4</m:t>
            </m:r>
          </m:sup>
        </m:sSup>
      </m:oMath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    (1)</w:t>
      </w:r>
    </w:p>
    <w:p w:rsidR="00000000" w:rsidDel="00000000" w:rsidP="00000000" w:rsidRDefault="00000000" w:rsidRPr="00000000" w14:paraId="0000000A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Ослабление сечения процесса Бете–Гайтлера</w:t>
      </w:r>
      <w:r w:rsidDel="00000000" w:rsidR="00000000" w:rsidRPr="00000000">
        <w:rPr>
          <w:sz w:val="24"/>
          <w:szCs w:val="24"/>
          <w:rtl w:val="0"/>
        </w:rPr>
        <w:t xml:space="preserve"> существенно меняет поведение эволюции атмосферного ливня, при этом плотность компоненты электронов на земной поверхности в случае нарушения Лоренц-инвариантности становится меньше. В сравнении же с Лоренц-инвариантным случаем, такое подавление приводит к недооценке энергии первичной частицы, что интерпретируется как мюонный избыток. В работе дана оценка параметра нарушения Лоренц-инвариантности для решения «мюонной загадки».</w:t>
      </w:r>
    </w:p>
    <w:p w:rsidR="00000000" w:rsidDel="00000000" w:rsidP="00000000" w:rsidRDefault="00000000" w:rsidRPr="00000000" w14:paraId="0000000B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Работа выполнена при поддержке РНФ, грант №22-12-00253.</w:t>
      </w:r>
    </w:p>
    <w:p w:rsidR="00000000" w:rsidDel="00000000" w:rsidP="00000000" w:rsidRDefault="00000000" w:rsidRPr="00000000" w14:paraId="0000000D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9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J. C. Arteaga Velazquez, “A report by the WHISP working group on the combined analysis of muon data at cosmic-ray energies above 1 PeV,” PoS ICRC2023 (2023), 466 doi:10.22323/1.444.0466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9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Mattingly, “Have we tested Lorentz invariance enough?,” [arXiv:0802.1561 [gr-qc]].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9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G. Rubtsov, P. Satunin and S. Sibiryakov, “On calculation of cross sections in Lorentz violating theories,” Phys. Rev. D 86 (2012), 085012 doi:10.1103/PhysRevD.86.085012 [arXiv:1204.5782 [hep-ph]].</w:t>
      </w:r>
    </w:p>
    <w:sectPr>
      <w:footerReference r:id="rId7" w:type="default"/>
      <w:footerReference r:id="rId8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pageBreakBefore w:val="1"/>
      <w:suppressAutoHyphens w:val="1"/>
      <w:spacing w:after="120" w:line="360" w:lineRule="auto"/>
      <w:ind w:leftChars="-1" w:rightChars="0" w:firstLine="709" w:firstLineChars="-1"/>
      <w:jc w:val="center"/>
      <w:textDirection w:val="btLr"/>
      <w:textAlignment w:val="top"/>
      <w:outlineLvl w:val="1"/>
    </w:pPr>
    <w:rPr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БезинтервалаЗнак">
    <w:name w:val="Без интервала Знак"/>
    <w:next w:val="БезинтервалаЗнак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Замещающийтекст">
    <w:name w:val="Замещающий текст"/>
    <w:next w:val="Замещающийтекст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vNjNm/J6WmuV6Q0ZpNHsDWrbw==">CgMxLjA4AHIhMWpNTWoxamNBSHBOZmE1VUxXLUNxMEFhZ2ctNjFYdEpC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2018-02-06T07:23:00Z</dcterms:created>
  <dc:creator>PR</dc:creator>
</cp:coreProperties>
</file>