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05188D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120" w:lineRule="atLeast"/>
        <w:jc w:val="both"/>
        <w:textAlignment w:val="auto"/>
        <w:rPr>
          <w:rFonts w:hint="default" w:ascii="Times New Roman Bold" w:hAnsi="Times New Roman Bold" w:eastAsia="宋体" w:cs="Times New Roman Bold"/>
          <w:b/>
          <w:bCs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286B5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center"/>
        <w:textAlignment w:val="auto"/>
        <w:rPr>
          <w:rStyle w:val="5"/>
          <w:rFonts w:hint="default" w:ascii="Times New Roman Bold" w:hAnsi="Times New Roman Bold" w:eastAsia="Arial" w:cs="Times New Roman Bold"/>
          <w:b/>
          <w:bCs/>
          <w:i w:val="0"/>
          <w:iCs w:val="0"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Style w:val="5"/>
          <w:rFonts w:hint="default" w:ascii="Times New Roman Bold" w:hAnsi="Times New Roman Bold" w:eastAsia="Arial" w:cs="Times New Roman Bold"/>
          <w:b/>
          <w:bCs/>
          <w:i w:val="0"/>
          <w:iCs w:val="0"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  <w:t>Determinants of the internal migration of the population in modern Russia</w:t>
      </w:r>
    </w:p>
    <w:p w14:paraId="3BA075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center"/>
        <w:textAlignment w:val="auto"/>
        <w:rPr>
          <w:rStyle w:val="5"/>
          <w:rFonts w:hint="default" w:ascii="Times New Roman Bold Italic" w:hAnsi="Times New Roman Bold Italic" w:eastAsia="Arial" w:cs="Times New Roman Bold Italic"/>
          <w:b/>
          <w:bCs w:val="0"/>
          <w:i/>
          <w:iCs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Style w:val="5"/>
          <w:rFonts w:hint="default" w:ascii="Times New Roman Bold Italic" w:hAnsi="Times New Roman Bold Italic" w:eastAsia="Arial" w:cs="Times New Roman Bold Italic"/>
          <w:b/>
          <w:bCs w:val="0"/>
          <w:i/>
          <w:iCs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  <w:t>Wu Yiqing</w:t>
      </w:r>
    </w:p>
    <w:p w14:paraId="315FA2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center"/>
        <w:textAlignment w:val="auto"/>
        <w:rPr>
          <w:rStyle w:val="5"/>
          <w:rFonts w:hint="default" w:ascii="Times New Roman Italic" w:hAnsi="Times New Roman Italic" w:eastAsia="Arial" w:cs="Times New Roman Italic"/>
          <w:b w:val="0"/>
          <w:bCs/>
          <w:i/>
          <w:iCs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Style w:val="5"/>
          <w:rFonts w:hint="default" w:ascii="Times New Roman Italic" w:hAnsi="Times New Roman Italic" w:eastAsia="Arial" w:cs="Times New Roman Italic"/>
          <w:b w:val="0"/>
          <w:bCs/>
          <w:i/>
          <w:iCs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  <w:t>Master student</w:t>
      </w:r>
    </w:p>
    <w:p w14:paraId="700878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center"/>
        <w:textAlignment w:val="auto"/>
        <w:rPr>
          <w:rFonts w:hint="default" w:ascii="Times New Roman Italic" w:hAnsi="Times New Roman Italic" w:eastAsia="Arial" w:cs="Times New Roman Italic"/>
          <w:b w:val="0"/>
          <w:i/>
          <w:iCs/>
          <w:caps w:val="0"/>
          <w:color w:val="353535"/>
          <w:spacing w:val="0"/>
          <w:sz w:val="24"/>
          <w:szCs w:val="24"/>
          <w:u w:val="none"/>
        </w:rPr>
      </w:pPr>
      <w:r>
        <w:rPr>
          <w:rStyle w:val="6"/>
          <w:rFonts w:hint="default" w:ascii="Times New Roman Italic" w:hAnsi="Times New Roman Italic" w:eastAsia="Arial" w:cs="Times New Roman Italic"/>
          <w:b w:val="0"/>
          <w:i/>
          <w:iCs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  <w:t>Lomonosov Moscow State University,</w:t>
      </w:r>
    </w:p>
    <w:p w14:paraId="6779C2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center"/>
        <w:textAlignment w:val="auto"/>
        <w:rPr>
          <w:rFonts w:hint="default" w:ascii="Times New Roman Italic" w:hAnsi="Times New Roman Italic" w:eastAsia="Arial" w:cs="Times New Roman Italic"/>
          <w:b w:val="0"/>
          <w:i/>
          <w:iCs/>
          <w:caps w:val="0"/>
          <w:color w:val="353535"/>
          <w:spacing w:val="0"/>
          <w:sz w:val="24"/>
          <w:szCs w:val="24"/>
          <w:u w:val="none"/>
        </w:rPr>
      </w:pPr>
      <w:r>
        <w:rPr>
          <w:rStyle w:val="6"/>
          <w:rFonts w:hint="default" w:ascii="Times New Roman Italic" w:hAnsi="Times New Roman Italic" w:eastAsia="Arial" w:cs="Times New Roman Italic"/>
          <w:b w:val="0"/>
          <w:i/>
          <w:iCs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  <w:t>Faculty of Economics, Moscow, Russia</w:t>
      </w:r>
    </w:p>
    <w:p w14:paraId="6C1E43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center"/>
        <w:textAlignment w:val="auto"/>
        <w:rPr>
          <w:rStyle w:val="6"/>
          <w:rFonts w:hint="default" w:ascii="Times New Roman Italic" w:hAnsi="Times New Roman Italic" w:eastAsia="Arial" w:cs="Times New Roman Italic"/>
          <w:b w:val="0"/>
          <w:i/>
          <w:iCs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Style w:val="6"/>
          <w:rFonts w:hint="default" w:ascii="Times New Roman Italic" w:hAnsi="Times New Roman Italic" w:eastAsia="Arial" w:cs="Times New Roman Italic"/>
          <w:b w:val="0"/>
          <w:i/>
          <w:iCs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  <w:t xml:space="preserve">E–mail: </w:t>
      </w:r>
      <w:r>
        <w:rPr>
          <w:rStyle w:val="6"/>
          <w:rFonts w:hint="default" w:ascii="Times New Roman Italic" w:hAnsi="Times New Roman Italic" w:eastAsia="Arial" w:cs="Times New Roman Italic"/>
          <w:b w:val="0"/>
          <w:i/>
          <w:iCs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Style w:val="6"/>
          <w:rFonts w:hint="default" w:ascii="Times New Roman Italic" w:hAnsi="Times New Roman Italic" w:eastAsia="Arial" w:cs="Times New Roman Italic"/>
          <w:b w:val="0"/>
          <w:i/>
          <w:iCs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  <w:instrText xml:space="preserve"> HYPERLINK "mailto:wuyiqinggo@qq.com" </w:instrText>
      </w:r>
      <w:r>
        <w:rPr>
          <w:rStyle w:val="6"/>
          <w:rFonts w:hint="default" w:ascii="Times New Roman Italic" w:hAnsi="Times New Roman Italic" w:eastAsia="Arial" w:cs="Times New Roman Italic"/>
          <w:b w:val="0"/>
          <w:i/>
          <w:iCs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7"/>
          <w:rFonts w:hint="default" w:ascii="Times New Roman Italic" w:hAnsi="Times New Roman Italic" w:eastAsia="Arial" w:cs="Times New Roman Italic"/>
          <w:b w:val="0"/>
          <w:i/>
          <w:iCs/>
          <w:caps w:val="0"/>
          <w:spacing w:val="0"/>
          <w:kern w:val="0"/>
          <w:sz w:val="24"/>
          <w:szCs w:val="24"/>
          <w:lang w:val="en-US" w:eastAsia="zh-CN" w:bidi="ar"/>
        </w:rPr>
        <w:t>wuyiqinggo@qq.com</w:t>
      </w:r>
      <w:r>
        <w:rPr>
          <w:rStyle w:val="6"/>
          <w:rFonts w:hint="default" w:ascii="Times New Roman Italic" w:hAnsi="Times New Roman Italic" w:eastAsia="Arial" w:cs="Times New Roman Italic"/>
          <w:b w:val="0"/>
          <w:i/>
          <w:iCs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  <w:fldChar w:fldCharType="end"/>
      </w:r>
    </w:p>
    <w:p w14:paraId="4E4847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both"/>
        <w:textAlignment w:val="auto"/>
        <w:rPr>
          <w:rFonts w:hint="default" w:ascii="Times New Roman Regular" w:hAnsi="Times New Roman Regular" w:eastAsia="Arial" w:cs="Times New Roman Regular"/>
          <w:b w:val="0"/>
          <w:i w:val="0"/>
          <w:iCs w:val="0"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 Regular" w:hAnsi="Times New Roman Regular" w:eastAsia="Arial" w:cs="Times New Roman Regular"/>
          <w:b w:val="0"/>
          <w:i w:val="0"/>
          <w:iCs w:val="0"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  <w:t xml:space="preserve"> </w:t>
      </w:r>
    </w:p>
    <w:p w14:paraId="64A4E8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both"/>
        <w:textAlignment w:val="auto"/>
        <w:rPr>
          <w:rFonts w:hint="default" w:ascii="Times New Roman Regular" w:hAnsi="Times New Roman Regular" w:eastAsia="Arial" w:cs="Times New Roman Regular"/>
          <w:b w:val="0"/>
          <w:i w:val="0"/>
          <w:iCs w:val="0"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 Regular" w:hAnsi="Times New Roman Regular" w:eastAsia="Arial" w:cs="Times New Roman Regular"/>
          <w:b w:val="0"/>
          <w:i w:val="0"/>
          <w:iCs w:val="0"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  <w:t>Over the past five years, China’s cross-border e-commerce imports and exports have grown nearly tenfold, with their share of total foreign trade increasing from less than 1% in 2015 to 4.9% in 2021. The COVID-19 pandemic has accelerated digital transformation, driving global consumer demand for online services and creating new opportunities for the development of cross-border e-commerce. However, SMEs still face challenges such as taxation policies, limited resources, and technological infrastructure. This study extends the TOE framework by incorporating inter-organizational factors and proposing six hypotheses. Using survey data from Chinese SMEs and SPSS analysis, it evaluates data reliability and employs regression analysis to identify key factors influencing cross-border e-commerce performance. The findings indicate that IT capability, decentralization, and innovation positively impact SMEs' performance in cross-border e-commerce. This study aims to leverage digital technologies such as intelligent logistics, automated customer service, and data analytics to help SMEs improve operational efficiency, optimize decision-making processes, and ultimately enhance overall business performance.</w:t>
      </w:r>
      <w:bookmarkStart w:id="0" w:name="_GoBack"/>
      <w:bookmarkEnd w:id="0"/>
    </w:p>
    <w:p w14:paraId="249E32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both"/>
        <w:textAlignment w:val="auto"/>
        <w:rPr>
          <w:rFonts w:hint="default" w:ascii="Times New Roman Regular" w:hAnsi="Times New Roman Regular" w:eastAsia="Arial" w:cs="Times New Roman Regular"/>
          <w:b w:val="0"/>
          <w:i w:val="0"/>
          <w:iCs w:val="0"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</w:pPr>
    </w:p>
    <w:p w14:paraId="5B783D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center"/>
        <w:textAlignment w:val="auto"/>
        <w:rPr>
          <w:rFonts w:hint="default" w:ascii="Times New Roman Bold" w:hAnsi="Times New Roman Bold" w:eastAsia="Arial" w:cs="Times New Roman Bold"/>
          <w:b/>
          <w:bCs w:val="0"/>
          <w:i w:val="0"/>
          <w:iCs w:val="0"/>
          <w:caps w:val="0"/>
          <w:color w:val="353535"/>
          <w:spacing w:val="0"/>
          <w:sz w:val="24"/>
          <w:szCs w:val="24"/>
          <w:u w:val="none"/>
        </w:rPr>
      </w:pPr>
      <w:r>
        <w:rPr>
          <w:rStyle w:val="5"/>
          <w:rFonts w:hint="default" w:ascii="Times New Roman Bold" w:hAnsi="Times New Roman Bold" w:eastAsia="Arial" w:cs="Times New Roman Bold"/>
          <w:b/>
          <w:bCs w:val="0"/>
          <w:i w:val="0"/>
          <w:iCs w:val="0"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  <w:t>References</w:t>
      </w:r>
    </w:p>
    <w:p w14:paraId="16C9F14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left"/>
        <w:textAlignment w:val="auto"/>
        <w:rPr>
          <w:rFonts w:hint="default" w:ascii="Times New Roman Regular" w:hAnsi="Times New Roman Regular" w:eastAsia="Arial" w:cs="Times New Roman Regular"/>
          <w:b w:val="0"/>
          <w:i w:val="0"/>
          <w:iCs w:val="0"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 Regular" w:hAnsi="Times New Roman Regular" w:eastAsia="Arial" w:cs="Times New Roman Regular"/>
          <w:b w:val="0"/>
          <w:i w:val="0"/>
          <w:iCs w:val="0"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  <w:t>Chen N, Yang J. Mechanism of government policies in cross-border e-commerce on firm performance and implications on m-commerce[J]. International Journal of Mobile Communications, 2017, 15(1): 69-84.(p. 69)</w:t>
      </w:r>
    </w:p>
    <w:p w14:paraId="27E293E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left"/>
        <w:textAlignment w:val="auto"/>
        <w:rPr>
          <w:rFonts w:hint="default" w:ascii="Times New Roman Regular" w:hAnsi="Times New Roman Regular" w:eastAsia="Arial" w:cs="Times New Roman Regular"/>
          <w:b w:val="0"/>
          <w:i w:val="0"/>
          <w:iCs w:val="0"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 Regular" w:hAnsi="Times New Roman Regular" w:eastAsia="Arial" w:cs="Times New Roman Regular"/>
          <w:b w:val="0"/>
          <w:i w:val="0"/>
          <w:iCs w:val="0"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  <w:t>Intan Salwani M, Marthandan G, Daud Norzaidi M, et al. E‐commerce usage and business performance in the Malaysian tourism sector: empirical analysis[J]. Information management &amp; computer security, 2009, 17(2): 166-185.(p. 168)</w:t>
      </w:r>
    </w:p>
    <w:p w14:paraId="6E35ED2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left"/>
        <w:textAlignment w:val="auto"/>
        <w:rPr>
          <w:rFonts w:hint="default" w:ascii="Times New Roman Regular" w:hAnsi="Times New Roman Regular" w:eastAsia="Arial" w:cs="Times New Roman Regular"/>
          <w:b w:val="0"/>
          <w:i w:val="0"/>
          <w:iCs w:val="0"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 Regular" w:hAnsi="Times New Roman Regular" w:eastAsia="Arial" w:cs="Times New Roman Regular"/>
          <w:b w:val="0"/>
          <w:i w:val="0"/>
          <w:iCs w:val="0"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  <w:t>National Bureau of Statistics of China. Statistical Bulletin of National Economic and Social Development of the People's Republic of China 2022.[EB/OL][2023-02-28]https://www.stats.gov.cn/xxgk/sjfb/tjgb2020/202302/t20230228_1919001.html(p. 2)</w:t>
      </w:r>
    </w:p>
    <w:p w14:paraId="1E66FB7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left"/>
        <w:textAlignment w:val="auto"/>
        <w:rPr>
          <w:rFonts w:hint="default" w:ascii="Times New Roman Regular" w:hAnsi="Times New Roman Regular" w:eastAsia="Arial" w:cs="Times New Roman Regular"/>
          <w:b w:val="0"/>
          <w:i w:val="0"/>
          <w:iCs w:val="0"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 Regular" w:hAnsi="Times New Roman Regular" w:eastAsia="Arial" w:cs="Times New Roman Regular"/>
          <w:b w:val="0"/>
          <w:i w:val="0"/>
          <w:iCs w:val="0"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  <w:t>S</w:t>
      </w:r>
      <w:r>
        <w:rPr>
          <w:rFonts w:hint="default" w:ascii="Times New Roman Regular" w:hAnsi="Times New Roman Regular" w:eastAsia="Arial" w:cs="Times New Roman Regular"/>
          <w:b w:val="0"/>
          <w:i w:val="0"/>
          <w:iCs w:val="0"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  <w:t>etyowati N, Mulyo J H. The role of entrepreneurs and firm characteristics to the level of innovativeness: A study of e-commerce adoption on traditional drink SMEs[C]//IOP Conference Series: Earth and Environmental Science. IOP Publishing, 2024, 1362(1): 012023.(p. 2)</w:t>
      </w:r>
    </w:p>
    <w:p w14:paraId="5A75C60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left"/>
        <w:textAlignment w:val="auto"/>
        <w:rPr>
          <w:rFonts w:hint="default" w:ascii="Times New Roman Regular" w:hAnsi="Times New Roman Regular" w:eastAsia="Arial" w:cs="Times New Roman Regular"/>
          <w:b w:val="0"/>
          <w:i w:val="0"/>
          <w:iCs w:val="0"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 Regular" w:hAnsi="Times New Roman Regular" w:eastAsia="Arial" w:cs="Times New Roman Regular"/>
          <w:b w:val="0"/>
          <w:i w:val="0"/>
          <w:iCs w:val="0"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  <w:t>Xiong Jiling, Zhang Xiaofeng. Operational Characteristics and Strategic Choices of Small and Medium-Sized Enterprises [J]. Enterprise Economy, 2006, (11): 69-71.(p. 2)</w:t>
      </w:r>
    </w:p>
    <w:p w14:paraId="2C0E78C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left"/>
        <w:textAlignment w:val="auto"/>
        <w:rPr>
          <w:rFonts w:hint="default" w:ascii="Times New Roman Regular" w:hAnsi="Times New Roman Regular" w:eastAsia="Arial" w:cs="Times New Roman Regular"/>
          <w:b w:val="0"/>
          <w:i w:val="0"/>
          <w:iCs w:val="0"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 Regular" w:hAnsi="Times New Roman Regular" w:eastAsia="Arial" w:cs="Times New Roman Regular"/>
          <w:b w:val="0"/>
          <w:i w:val="0"/>
          <w:iCs w:val="0"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  <w:t>Zhuang S-Y. Research on the impact of economic policy uncertainty on China's cross-border e-commerce exports[D]. Shanghai University of Finance and Economics, 2022.DOI:10.27296/d.cnki.gshcu.2022.002116.(p. 45)</w:t>
      </w:r>
    </w:p>
    <w:p w14:paraId="7D23730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left"/>
        <w:textAlignment w:val="auto"/>
        <w:rPr>
          <w:rFonts w:hint="default" w:ascii="Times New Roman Regular" w:hAnsi="Times New Roman Regular" w:eastAsia="Arial" w:cs="Times New Roman Regular"/>
          <w:b w:val="0"/>
          <w:i w:val="0"/>
          <w:iCs w:val="0"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 Regular" w:hAnsi="Times New Roman Regular" w:eastAsia="Arial" w:cs="Times New Roman Regular"/>
          <w:b w:val="0"/>
          <w:i w:val="0"/>
          <w:iCs w:val="0"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  <w:t>Zou Wei,Han Jie. Leading China's economic ship to ride the wind and waves and keep moving forward--Side note of the 2023 Central Economic Work Conference[J]. China Economy,2024,(01):124-128.(p. 125)</w:t>
      </w:r>
    </w:p>
    <w:p w14:paraId="25EA1EFC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 w:ascii="Times New Roman Regular" w:hAnsi="Times New Roman Regular" w:eastAsia="Arial" w:cs="Times New Roman Regular"/>
          <w:b w:val="0"/>
          <w:i w:val="0"/>
          <w:iCs w:val="0"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</w:pPr>
    </w:p>
    <w:p w14:paraId="12F0D48B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 w:ascii="Times New Roman Regular" w:hAnsi="Times New Roman Regular" w:eastAsia="Arial" w:cs="Times New Roman Regular"/>
          <w:b w:val="0"/>
          <w:i w:val="0"/>
          <w:iCs w:val="0"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</w:pPr>
    </w:p>
    <w:p w14:paraId="0D4E13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 Regular" w:hAnsi="Times New Roman Regular" w:eastAsia="宋体" w:cs="Times New Roman Regular"/>
          <w:b w:val="0"/>
          <w:b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2FA767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 Regular" w:hAnsi="Times New Roman Regular" w:eastAsia="宋体" w:cs="Times New Roman Regular"/>
          <w:b w:val="0"/>
          <w:b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D91125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120" w:lineRule="atLeast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134" w:right="1361" w:bottom="1134" w:left="136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NewRomanPS-ItalicMT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 Italic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E510A"/>
    <w:multiLevelType w:val="singleLevel"/>
    <w:tmpl w:val="E7FE510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95FEE"/>
    <w:rsid w:val="0F6F75DD"/>
    <w:rsid w:val="2FFBEB41"/>
    <w:rsid w:val="5E3F9590"/>
    <w:rsid w:val="73B95FEE"/>
    <w:rsid w:val="7B77EA63"/>
    <w:rsid w:val="7BB7B403"/>
    <w:rsid w:val="7BBDE064"/>
    <w:rsid w:val="7CDB1883"/>
    <w:rsid w:val="AFF5DCA4"/>
    <w:rsid w:val="F17976C5"/>
    <w:rsid w:val="F76E3E6E"/>
    <w:rsid w:val="F7FCBBAB"/>
    <w:rsid w:val="FFF7F9E8"/>
    <w:rsid w:val="FFFFB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uiPriority w:val="0"/>
    <w:rPr>
      <w:color w:val="0000FF"/>
      <w:u w:val="single"/>
    </w:rPr>
  </w:style>
  <w:style w:type="paragraph" w:customStyle="1" w:styleId="8">
    <w:name w:val="正文英"/>
    <w:basedOn w:val="1"/>
    <w:qFormat/>
    <w:uiPriority w:val="0"/>
    <w:rPr>
      <w:rFonts w:ascii="Times New Roman" w:hAnsi="Times New Roman" w:eastAsia="宋体" w:cs="Times New Roman"/>
      <w:sz w:val="24"/>
    </w:rPr>
  </w:style>
  <w:style w:type="paragraph" w:customStyle="1" w:styleId="9">
    <w:name w:val="三级"/>
    <w:basedOn w:val="2"/>
    <w:qFormat/>
    <w:uiPriority w:val="0"/>
    <w:pPr>
      <w:jc w:val="left"/>
      <w:outlineLvl w:val="2"/>
    </w:pPr>
    <w:rPr>
      <w:rFonts w:ascii="Times New Roman" w:hAnsi="Times New Roman" w:eastAsia="宋体" w:cs="Times New Roman"/>
      <w:bCs/>
      <w:sz w:val="24"/>
      <w:szCs w:val="44"/>
    </w:rPr>
  </w:style>
  <w:style w:type="paragraph" w:customStyle="1" w:styleId="10">
    <w:name w:val="一级"/>
    <w:basedOn w:val="2"/>
    <w:qFormat/>
    <w:uiPriority w:val="0"/>
    <w:rPr>
      <w:rFonts w:ascii="Times New Roman" w:hAnsi="Times New Roman" w:eastAsia="宋体" w:cs="Times New Roman"/>
      <w:bCs/>
      <w:sz w:val="28"/>
      <w:szCs w:val="44"/>
    </w:rPr>
  </w:style>
  <w:style w:type="character" w:customStyle="1" w:styleId="11">
    <w:name w:val="一级标题"/>
    <w:basedOn w:val="4"/>
    <w:uiPriority w:val="0"/>
    <w:rPr>
      <w:rFonts w:hint="eastAsia" w:ascii="Times New Roman" w:hAnsi="Times New Roman"/>
      <w:b/>
      <w:sz w:val="2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2025-02-25T20:08:00Z</dcterms:created>
  <dc:creator>喜你安静</dc:creator>
  <cp:lastModifiedBy>喜你安静</cp:lastModifiedBy>
  <dcterms:modified xsi:type="dcterms:W3CDTF">2025-03-03T21:35:20Z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58B4BE7D0461284EDCCEBD67FFBABAD9_41</vt:lpwstr>
  </property>
</Properties>
</file>