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95DA">
      <w:pPr>
        <w:jc w:val="center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Дипломатические стратегии Турции в Центральной Азии</w:t>
      </w:r>
    </w:p>
    <w:p w14:paraId="191F249D">
      <w:pPr>
        <w:rPr>
          <w:rFonts w:hint="default"/>
          <w:lang w:val="ru-RU"/>
        </w:rPr>
      </w:pPr>
    </w:p>
    <w:p w14:paraId="15ED771D">
      <w:pPr>
        <w:jc w:val="center"/>
        <w:rPr>
          <w:rFonts w:ascii="Times New Roman Bold" w:hAnsi="Times New Roman Bold" w:cs="Times New Roman Bold"/>
          <w:b/>
          <w:bCs/>
          <w:sz w:val="24"/>
          <w:lang w:val="ru-RU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  <w:t>Хань Чжицзин</w:t>
      </w:r>
    </w:p>
    <w:p w14:paraId="51FF5C11">
      <w:pPr>
        <w:jc w:val="center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Аспирантка</w:t>
      </w:r>
      <w:bookmarkStart w:id="0" w:name="_GoBack"/>
      <w:bookmarkEnd w:id="0"/>
    </w:p>
    <w:p w14:paraId="58E4347F">
      <w:pPr>
        <w:jc w:val="center"/>
        <w:rPr>
          <w:rFonts w:ascii="Times New Roman Italic" w:hAnsi="Times New Roman Italic" w:cs="Times New Roman Italic"/>
          <w:i/>
          <w:iCs/>
          <w:sz w:val="24"/>
          <w:lang w:val="ru-RU"/>
        </w:rPr>
      </w:pPr>
      <w:r>
        <w:rPr>
          <w:rFonts w:ascii="Times New Roman Italic" w:hAnsi="Times New Roman Italic" w:cs="Times New Roman Italic"/>
          <w:bCs/>
          <w:i/>
          <w:iCs/>
          <w:sz w:val="24"/>
          <w:lang w:val="ru-RU"/>
        </w:rPr>
        <w:t>Санкт-Петербургский государственный университет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 </w:t>
      </w:r>
    </w:p>
    <w:p w14:paraId="4437C081">
      <w:pPr>
        <w:jc w:val="center"/>
        <w:rPr>
          <w:rFonts w:ascii="Times New Roman Italic" w:hAnsi="Times New Roman Italic" w:cs="Times New Roman Italic"/>
          <w:bCs/>
          <w:i/>
          <w:iCs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Факультет </w:t>
      </w:r>
      <w:r>
        <w:rPr>
          <w:rFonts w:ascii="Times New Roman Italic" w:hAnsi="Times New Roman Italic" w:cs="Times New Roman Italic"/>
          <w:bCs/>
          <w:i/>
          <w:iCs/>
          <w:sz w:val="24"/>
          <w:lang w:val="ru-RU"/>
        </w:rPr>
        <w:t>международных отношений, Санкт-Петербург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, Россия</w:t>
      </w:r>
    </w:p>
    <w:p w14:paraId="29E0FFA3">
      <w:pPr>
        <w:numPr>
          <w:ilvl w:val="0"/>
          <w:numId w:val="1"/>
        </w:numPr>
        <w:jc w:val="center"/>
        <w:rPr>
          <w:rFonts w:ascii="Times New Roman Italic" w:hAnsi="Times New Roman Italic" w:cs="Times New Roman Italic"/>
          <w:i/>
          <w:iCs/>
          <w:sz w:val="24"/>
        </w:rPr>
      </w:pPr>
      <w:r>
        <w:rPr>
          <w:rFonts w:ascii="Times New Roman Italic" w:hAnsi="Times New Roman Italic" w:cs="Times New Roman Italic"/>
          <w:i/>
          <w:iCs/>
          <w:sz w:val="24"/>
        </w:rPr>
        <w:t>mail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: </w:t>
      </w:r>
      <w:r>
        <w:rPr>
          <w:rFonts w:hint="default" w:ascii="Times New Roman Italic" w:hAnsi="Times New Roman Italic" w:cs="Times New Roman Italic"/>
          <w:i/>
          <w:iCs/>
          <w:sz w:val="24"/>
          <w:lang w:val="en-US"/>
        </w:rPr>
        <w:fldChar w:fldCharType="begin"/>
      </w:r>
      <w:r>
        <w:rPr>
          <w:rFonts w:hint="default" w:ascii="Times New Roman Italic" w:hAnsi="Times New Roman Italic" w:cs="Times New Roman Italic"/>
          <w:i/>
          <w:iCs/>
          <w:sz w:val="24"/>
          <w:lang w:val="en-US"/>
        </w:rPr>
        <w:instrText xml:space="preserve"> HYPERLINK "mailto:lijing0091@qq.com" </w:instrText>
      </w:r>
      <w:r>
        <w:rPr>
          <w:rFonts w:hint="default" w:ascii="Times New Roman Italic" w:hAnsi="Times New Roman Italic" w:cs="Times New Roman Italic"/>
          <w:i/>
          <w:iCs/>
          <w:sz w:val="24"/>
          <w:lang w:val="en-US"/>
        </w:rPr>
        <w:fldChar w:fldCharType="separate"/>
      </w:r>
      <w:r>
        <w:rPr>
          <w:rStyle w:val="5"/>
          <w:rFonts w:hint="default" w:ascii="Times New Roman Italic" w:hAnsi="Times New Roman Italic" w:cs="Times New Roman Italic"/>
          <w:i/>
          <w:iCs/>
          <w:sz w:val="24"/>
          <w:lang w:val="en-US"/>
        </w:rPr>
        <w:t>lijing0091</w:t>
      </w:r>
      <w:r>
        <w:rPr>
          <w:rStyle w:val="5"/>
          <w:rFonts w:ascii="Times New Roman Italic" w:hAnsi="Times New Roman Italic" w:cs="Times New Roman Italic"/>
          <w:i/>
          <w:iCs/>
          <w:sz w:val="24"/>
          <w:lang w:val="ru-RU"/>
        </w:rPr>
        <w:t>@</w:t>
      </w:r>
      <w:r>
        <w:rPr>
          <w:rStyle w:val="5"/>
          <w:rFonts w:hint="default" w:ascii="Times New Roman Italic" w:hAnsi="Times New Roman Italic" w:cs="Times New Roman Italic"/>
          <w:i/>
          <w:iCs/>
          <w:sz w:val="24"/>
          <w:lang w:val="en-US"/>
        </w:rPr>
        <w:t>qq</w:t>
      </w:r>
      <w:r>
        <w:rPr>
          <w:rStyle w:val="5"/>
          <w:rFonts w:ascii="Times New Roman Italic" w:hAnsi="Times New Roman Italic" w:cs="Times New Roman Italic"/>
          <w:i/>
          <w:iCs/>
          <w:sz w:val="24"/>
          <w:lang w:val="ru-RU"/>
        </w:rPr>
        <w:t>.</w:t>
      </w:r>
      <w:r>
        <w:rPr>
          <w:rStyle w:val="5"/>
          <w:rFonts w:ascii="Times New Roman Italic" w:hAnsi="Times New Roman Italic" w:cs="Times New Roman Italic"/>
          <w:i/>
          <w:iCs/>
          <w:sz w:val="24"/>
        </w:rPr>
        <w:t>com</w:t>
      </w:r>
      <w:r>
        <w:rPr>
          <w:rFonts w:hint="default" w:ascii="Times New Roman Italic" w:hAnsi="Times New Roman Italic" w:cs="Times New Roman Italic"/>
          <w:i/>
          <w:iCs/>
          <w:sz w:val="24"/>
          <w:lang w:val="en-US"/>
        </w:rPr>
        <w:fldChar w:fldCharType="end"/>
      </w:r>
    </w:p>
    <w:p w14:paraId="0B5488D9">
      <w:pPr>
        <w:numPr>
          <w:numId w:val="0"/>
        </w:numPr>
        <w:jc w:val="both"/>
        <w:rPr>
          <w:rFonts w:ascii="Times New Roman Italic" w:hAnsi="Times New Roman Italic" w:cs="Times New Roman Italic"/>
          <w:i/>
          <w:iCs/>
          <w:sz w:val="24"/>
        </w:rPr>
      </w:pPr>
    </w:p>
    <w:p w14:paraId="5888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</w:rPr>
        <w:t>После распада СССР в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1991 году страны Центральной Азии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</w:rPr>
        <w:t xml:space="preserve"> (ЦА)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стали независимыми. Уникальное географическое положение и богатые природные ресурсы региона делают его ареной для игры великих держав. Для Турции Ц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</w:rPr>
        <w:t>А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всегда была в центре внимания и является ключевым звеном ее дипломатической стратегии «поворота на 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</w:rPr>
        <w:t>В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осток». Турция активно расширяет свое влияние в Ц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</w:rPr>
        <w:t>А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с помощью военных, экономических, дипломатических и культурных средств, заполняя 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ru-RU" w:eastAsia="zh-CN" w:bidi="ar"/>
          <w14:textFill>
            <w14:solidFill>
              <w14:schemeClr w14:val="tx1"/>
            </w14:solidFill>
          </w14:textFill>
        </w:rPr>
        <w:t>“геополитическую пустоту”</w:t>
      </w:r>
      <w:r>
        <w:rPr>
          <w:rStyle w:val="4"/>
          <w:rFonts w:hint="default" w:ascii="Times New Roman Regular" w:hAnsi="Times New Roman Regular" w:eastAsia="宋体" w:cs="Times New Roman Regular"/>
          <w:b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, оставленный Россией. </w:t>
      </w:r>
    </w:p>
    <w:p w14:paraId="3F6300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ru-RU" w:eastAsia="zh-CN" w:bidi="ar"/>
        </w:rPr>
        <w:t>Политическая дипломатия</w:t>
      </w:r>
    </w:p>
    <w:p w14:paraId="31BF79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Центральная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Азия имеет схожие исторические корни и языковую культуру с Турцией, за исключением Таджикистана, все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остальные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четыре страны Центральной Азии являются тюркоязычными странами.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Турция стремится реализовать концепцию "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великого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highlight w:val="none"/>
          <w:lang w:val="en-US" w:eastAsia="zh-CN" w:bidi="ar"/>
        </w:rPr>
        <w:t>Турана"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, продвигая свою собственную форму многосторонней дипломатии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‒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политический союз т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highlight w:val="none"/>
          <w:lang w:val="en-US" w:eastAsia="zh-CN" w:bidi="ar"/>
        </w:rPr>
        <w:t>юрк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highlight w:val="none"/>
          <w:lang w:val="ru-RU" w:eastAsia="zh-CN" w:bidi="ar"/>
        </w:rPr>
        <w:t>оязычных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highlight w:val="none"/>
          <w:lang w:val="en-US" w:eastAsia="zh-CN" w:bidi="ar"/>
        </w:rPr>
        <w:t xml:space="preserve"> государств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под лозунгом "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шесть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государств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ru-RU" w:eastAsia="zh-CN" w:bidi="ar"/>
        </w:rPr>
        <w:t xml:space="preserve">‒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одна тюркская нация" [n1].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Б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ыл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создан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ы такие организации, как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Организация совместного развития тюркской культуры и искусства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Сообщества тюркоязычных государств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Совет сотрудничества тюркоязычных государств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.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В ноябре 2023 года в Астане состо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ял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ся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10-ый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саммит, на котором будет представлена концепция "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Т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юркской эпохи" (TURKTIME), то есть, соответственно, инициалы английского слова "традиции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(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Traditions), единство (Unification), реформы (Reforms), знания (Knowledge), доверие (Trust), инвестиции (Investments)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, медиации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(Mediation)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и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энерги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(Energy)"[n2]. В октябре 2024 года Турция решила заменить термин «Центральная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Азия» на «Туркестан» в своих национальных курсах истории, и эти инициативы направлены на переориентацию своих отношений с Центральной Азией, использование общего исторического и культурного сознания для укрепления политических и дипломатических связей и формирования нового геополитического влияния в регионе.</w:t>
      </w:r>
    </w:p>
    <w:p w14:paraId="4CDD7A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ru-RU" w:eastAsia="zh-CN" w:bidi="ar"/>
        </w:rPr>
        <w:t>Культурная дипломатия</w:t>
      </w:r>
    </w:p>
    <w:p w14:paraId="73EDDF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Целью культурной дипломатии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Турции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является «формирование хорошего имиджа страны, повышение привлекательности, идентичности и влияния страны на международном уровне».Культурная дипломатия Турции в отношении стран Центральной Азии проявляется главным образом в образовательных обменах, продвижении турецкого языка и культуры и укреплении религиозных обменов.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</w:p>
    <w:p w14:paraId="676D5B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Ч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тобы привлечь студентов из Центральной Азии, Турция предоставляет большое количество государственных стипендий странам Центральной Азии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.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Создание Тюркского университета (TURKUNIB)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укрепило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практики обмена и академическо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е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взаимодействи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е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в высшем образовании.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Турция также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на официальном уровне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финансир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ует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строительство Турецк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их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международн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ых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вузов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в Центральной Азии.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Многие другие учебные заведения открыты организациями гражданского общества, имеющими о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тношения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с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движением исламского проповедника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highlight w:val="none"/>
          <w:lang w:val="en-US" w:eastAsia="zh-CN" w:bidi="ar"/>
        </w:rPr>
        <w:t>Гюлен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highlight w:val="none"/>
          <w:lang w:val="ru-RU" w:eastAsia="zh-CN" w:bidi="ar"/>
        </w:rPr>
        <w:t>а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Утверждается, что после более чем 20-летнего развития почти 50% чиновников нынешнего правительства Кыргызстана получили образование в этих школах [n3]. </w:t>
      </w:r>
    </w:p>
    <w:p w14:paraId="1699B3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32"/>
        </w:rPr>
      </w:pPr>
      <w:r>
        <w:rPr>
          <w:rFonts w:hint="default" w:ascii="Times New Roman Regular" w:hAnsi="Times New Roman Regular" w:cs="Times New Roman Regular"/>
          <w:sz w:val="24"/>
          <w:szCs w:val="32"/>
        </w:rPr>
        <w:t>Турция также придает большое значение роли средств массовой информации в продвижении языка и культуры</w:t>
      </w:r>
      <w:r>
        <w:rPr>
          <w:rFonts w:hint="default" w:ascii="Times New Roman Regular" w:hAnsi="Times New Roman Regular" w:cs="Times New Roman Regular"/>
          <w:sz w:val="24"/>
          <w:szCs w:val="32"/>
          <w:lang w:val="ru-RU"/>
        </w:rPr>
        <w:t xml:space="preserve"> в ЦА</w:t>
      </w:r>
      <w:r>
        <w:rPr>
          <w:rFonts w:hint="default" w:ascii="Times New Roman Regular" w:hAnsi="Times New Roman Regular" w:cs="Times New Roman Regular"/>
          <w:sz w:val="24"/>
          <w:szCs w:val="32"/>
        </w:rPr>
        <w:t>, активно ра</w:t>
      </w:r>
      <w:r>
        <w:rPr>
          <w:rFonts w:hint="default" w:ascii="Times New Roman Regular" w:hAnsi="Times New Roman Regular" w:cs="Times New Roman Regular"/>
          <w:sz w:val="24"/>
          <w:szCs w:val="32"/>
          <w:lang w:val="ru-RU"/>
        </w:rPr>
        <w:t>сширяет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коммуникационные связи со странами Ц</w:t>
      </w:r>
      <w:r>
        <w:rPr>
          <w:rFonts w:hint="default" w:ascii="Times New Roman Regular" w:hAnsi="Times New Roman Regular" w:cs="Times New Roman Regular"/>
          <w:sz w:val="24"/>
          <w:szCs w:val="32"/>
          <w:lang w:val="ru-RU"/>
        </w:rPr>
        <w:t>А</w:t>
      </w:r>
      <w:r>
        <w:rPr>
          <w:rFonts w:hint="default" w:ascii="Times New Roman Regular" w:hAnsi="Times New Roman Regular" w:cs="Times New Roman Regular"/>
          <w:sz w:val="24"/>
          <w:szCs w:val="32"/>
        </w:rPr>
        <w:t>, передает в страны Центральной Азии радио и телевидение, видеоматериалы, переводит большое количество литературных произведений, укрепляет идентичность стран Ц</w:t>
      </w:r>
      <w:r>
        <w:rPr>
          <w:rFonts w:hint="default" w:ascii="Times New Roman Regular" w:hAnsi="Times New Roman Regular" w:cs="Times New Roman Regular"/>
          <w:sz w:val="24"/>
          <w:szCs w:val="32"/>
          <w:lang w:val="ru-RU"/>
        </w:rPr>
        <w:t>А</w:t>
      </w:r>
      <w:r>
        <w:rPr>
          <w:rFonts w:hint="default" w:ascii="Times New Roman Regular" w:hAnsi="Times New Roman Regular" w:cs="Times New Roman Regular"/>
          <w:sz w:val="24"/>
          <w:szCs w:val="32"/>
        </w:rPr>
        <w:t xml:space="preserve"> по отношению к </w:t>
      </w:r>
      <w:r>
        <w:rPr>
          <w:rFonts w:hint="default" w:ascii="Times New Roman Regular" w:hAnsi="Times New Roman Regular" w:cs="Times New Roman Regular"/>
          <w:sz w:val="24"/>
          <w:szCs w:val="32"/>
          <w:lang w:val="ru-RU"/>
        </w:rPr>
        <w:t xml:space="preserve">культуре </w:t>
      </w:r>
      <w:r>
        <w:rPr>
          <w:rFonts w:hint="default" w:ascii="Times New Roman Regular" w:hAnsi="Times New Roman Regular" w:cs="Times New Roman Regular"/>
          <w:sz w:val="24"/>
          <w:szCs w:val="32"/>
        </w:rPr>
        <w:t>Турции.</w:t>
      </w:r>
    </w:p>
    <w:p w14:paraId="623E14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 Bold" w:hAnsi="Times New Roman Bold" w:cs="Times New Roman Bold"/>
          <w:b/>
          <w:bCs/>
          <w:sz w:val="24"/>
          <w:szCs w:val="32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32"/>
          <w:lang w:val="ru-RU"/>
        </w:rPr>
        <w:t>Военная дипломатия</w:t>
      </w:r>
    </w:p>
    <w:p w14:paraId="1FC8C7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Турция, как вторая по величине военная держава НАТО, обладает не только военной мощью после США, но и обширным опытом и передовыми технологиями в области миротворчества, борьбы с терроризмом, разработки и производства вооружения и техники, что дает Турции основу для военной дипломатии как пути развития ее мягкой силы в Центральной Азии.</w:t>
      </w:r>
    </w:p>
    <w:p w14:paraId="1CBE16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ru-RU" w:eastAsia="zh-CN" w:bidi="ar"/>
        </w:rPr>
        <w:t>Заключение</w:t>
      </w:r>
    </w:p>
    <w:p w14:paraId="0B7676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После окончания «холодной войны» «уникальная» дипломатия мягкой силы Турции в Центральной Азии достигла определенных результатов, не только сформировала имидж турецкого «морального актора», дала ему пространство для регионального лидерства и действий в игре великих держав, но и превратила геополитическое превосходство Турции в влияние. Но, с другой стороны, Турция, осуществляя дипломатию в регионе Центральной Азии, должна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соблюдать меру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, не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должна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спешить и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принудить эти независимые страны принять свои собственные ценности и предпочтения[n4]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.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Турция хочет быть "лидером" в регионе,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это кажется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нереальн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ым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С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тран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ы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Ц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А</w:t>
      </w:r>
      <w:r>
        <w:rPr>
          <w:rFonts w:hint="default" w:ascii="Times New Roman Regular" w:hAnsi="Times New Roman Regular" w:eastAsia="Arial" w:cs="Times New Roman Regular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fill="F1F1F1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продолжают отстаивать свою независимость и стремиться быть субъектом, а не объектом международных отношений.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П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опытки Турции навязать свою культуру и политику будут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вызывать там негативную реакцию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, а также бросать вызов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интересам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других держав в регионе.</w:t>
      </w:r>
    </w:p>
    <w:p w14:paraId="4741E4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jc w:val="left"/>
        <w:textAlignment w:val="auto"/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Bold" w:hAnsi="Times New Roman Bold" w:eastAsia="宋体" w:cs="Times New Roman Bold"/>
          <w:b/>
          <w:bCs/>
          <w:kern w:val="0"/>
          <w:sz w:val="24"/>
          <w:szCs w:val="24"/>
          <w:lang w:val="ru-RU" w:eastAsia="zh-CN" w:bidi="ar"/>
        </w:rPr>
        <w:t>Список литературы</w:t>
      </w:r>
    </w:p>
    <w:p w14:paraId="69AC33C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Евсеев.В.В. Центральная Азия: игра на противоречиях основных внешнеполитических игроков. Восток.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>2013. №4. с.70-83.</w:t>
      </w:r>
    </w:p>
    <w:p w14:paraId="2BE430A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Хас Керим. Особенности внешней политики Турции в Центральной Азии. Научно-информационный журнал Армия и общество. 2013. № 3(35). с. 16-20. </w:t>
      </w:r>
    </w:p>
    <w:p w14:paraId="6513771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Аватков В. А., Прилепский П. А. Турция и Центральная Азия в период пандемии коронавируса. Мировая политика. 2022. № 2. с. 35-46.  </w:t>
      </w:r>
    </w:p>
    <w:p w14:paraId="3469EAB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ru-RU" w:eastAsia="zh-CN" w:bidi="ar"/>
        </w:rPr>
        <w:t xml:space="preserve">Юлдашева Г. Центральная Азия в современных турецко-иранских отношениях. Центральная Азия и Кавказ. 2014. т. 17, № 4. с. 43-52. </w:t>
      </w:r>
    </w:p>
    <w:p w14:paraId="43036D9E">
      <w:pPr>
        <w:rPr>
          <w:rFonts w:hint="default"/>
          <w:lang w:val="ru-RU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6C99D"/>
    <w:multiLevelType w:val="singleLevel"/>
    <w:tmpl w:val="5976C99D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5FFEAEED"/>
    <w:multiLevelType w:val="singleLevel"/>
    <w:tmpl w:val="5FFEAE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Dk4NjM2ZDExZDJhMTM0MDdjNzQ1MGU0MDFlNGUifQ=="/>
  </w:docVars>
  <w:rsids>
    <w:rsidRoot w:val="3E3299E7"/>
    <w:rsid w:val="3E3299E7"/>
    <w:rsid w:val="FCD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2025-03-09T09:06:00Z</dcterms:created>
  <dc:creator>起舞弄清影</dc:creator>
  <cp:lastModifiedBy>起舞弄清影</cp:lastModifiedBy>
  <dcterms:modified xsi:type="dcterms:W3CDTF">2025-03-09T22:31:50Z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7CC0F4A434379222DD2FCD675A6EABF8_41</vt:lpwstr>
  </property>
</Properties>
</file>