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1E7" w:rsidRPr="001C61E7" w:rsidRDefault="001C61E7" w:rsidP="001C61E7">
      <w:pPr>
        <w:pStyle w:val="a4"/>
        <w:spacing w:before="0" w:beforeAutospacing="0" w:after="150" w:afterAutospacing="0" w:line="420" w:lineRule="atLeast"/>
        <w:jc w:val="center"/>
        <w:rPr>
          <w:color w:val="353535"/>
        </w:rPr>
      </w:pPr>
      <w:r w:rsidRPr="001C61E7">
        <w:rPr>
          <w:rStyle w:val="a3"/>
          <w:color w:val="353535"/>
        </w:rPr>
        <w:t xml:space="preserve">Особенности </w:t>
      </w:r>
      <w:proofErr w:type="spellStart"/>
      <w:r w:rsidRPr="001C61E7">
        <w:rPr>
          <w:rStyle w:val="a3"/>
          <w:color w:val="353535"/>
        </w:rPr>
        <w:t>вербализованного</w:t>
      </w:r>
      <w:proofErr w:type="spellEnd"/>
      <w:r w:rsidRPr="001C61E7">
        <w:rPr>
          <w:rStyle w:val="a3"/>
          <w:color w:val="353535"/>
        </w:rPr>
        <w:t xml:space="preserve"> концепта «даритель» в сказочном дискурсе</w:t>
      </w:r>
    </w:p>
    <w:p w:rsidR="001C61E7" w:rsidRPr="001C61E7" w:rsidRDefault="001C61E7" w:rsidP="001C61E7">
      <w:pPr>
        <w:pStyle w:val="a4"/>
        <w:spacing w:before="0" w:beforeAutospacing="0" w:after="150" w:afterAutospacing="0" w:line="420" w:lineRule="atLeast"/>
        <w:jc w:val="center"/>
        <w:rPr>
          <w:color w:val="353535"/>
        </w:rPr>
      </w:pPr>
      <w:proofErr w:type="spellStart"/>
      <w:r w:rsidRPr="001C61E7">
        <w:rPr>
          <w:rStyle w:val="a3"/>
          <w:i/>
          <w:iCs/>
          <w:color w:val="353535"/>
        </w:rPr>
        <w:t>Анцупова</w:t>
      </w:r>
      <w:proofErr w:type="spellEnd"/>
      <w:r w:rsidRPr="001C61E7">
        <w:rPr>
          <w:rStyle w:val="a3"/>
          <w:i/>
          <w:iCs/>
          <w:color w:val="353535"/>
        </w:rPr>
        <w:t xml:space="preserve"> Валерия Григорьевна</w:t>
      </w:r>
    </w:p>
    <w:p w:rsidR="001C61E7" w:rsidRPr="001C61E7" w:rsidRDefault="001C61E7" w:rsidP="001C61E7">
      <w:pPr>
        <w:pStyle w:val="a4"/>
        <w:spacing w:before="0" w:beforeAutospacing="0" w:after="150" w:afterAutospacing="0" w:line="420" w:lineRule="atLeast"/>
        <w:jc w:val="center"/>
        <w:rPr>
          <w:color w:val="353535"/>
        </w:rPr>
      </w:pPr>
      <w:r w:rsidRPr="001C61E7">
        <w:rPr>
          <w:rStyle w:val="a5"/>
          <w:color w:val="353535"/>
        </w:rPr>
        <w:t>студент</w:t>
      </w:r>
    </w:p>
    <w:p w:rsidR="001C61E7" w:rsidRPr="001C61E7" w:rsidRDefault="001C61E7" w:rsidP="001C61E7">
      <w:pPr>
        <w:pStyle w:val="a4"/>
        <w:spacing w:before="0" w:beforeAutospacing="0" w:after="150" w:afterAutospacing="0" w:line="420" w:lineRule="atLeast"/>
        <w:jc w:val="center"/>
        <w:rPr>
          <w:color w:val="353535"/>
        </w:rPr>
      </w:pPr>
      <w:r w:rsidRPr="001C61E7">
        <w:rPr>
          <w:rStyle w:val="a5"/>
          <w:color w:val="353535"/>
        </w:rPr>
        <w:t>Московский государственный университет имени М.В.</w:t>
      </w:r>
      <w:r w:rsidR="00A5496B">
        <w:rPr>
          <w:rStyle w:val="a5"/>
          <w:color w:val="353535"/>
        </w:rPr>
        <w:t xml:space="preserve"> </w:t>
      </w:r>
      <w:r w:rsidRPr="001C61E7">
        <w:rPr>
          <w:rStyle w:val="a5"/>
          <w:color w:val="353535"/>
        </w:rPr>
        <w:t>Ломоносова, </w:t>
      </w:r>
    </w:p>
    <w:p w:rsidR="001C61E7" w:rsidRPr="001C61E7" w:rsidRDefault="001C61E7" w:rsidP="001C61E7">
      <w:pPr>
        <w:pStyle w:val="a4"/>
        <w:spacing w:before="0" w:beforeAutospacing="0" w:after="150" w:afterAutospacing="0" w:line="420" w:lineRule="atLeast"/>
        <w:jc w:val="center"/>
        <w:rPr>
          <w:color w:val="353535"/>
        </w:rPr>
      </w:pPr>
      <w:r w:rsidRPr="001C61E7">
        <w:rPr>
          <w:rStyle w:val="a5"/>
          <w:color w:val="353535"/>
        </w:rPr>
        <w:t>ФИЯР</w:t>
      </w:r>
      <w:r w:rsidRPr="001C61E7">
        <w:rPr>
          <w:rStyle w:val="a5"/>
          <w:color w:val="353535"/>
        </w:rPr>
        <w:t>, Москва, Россия</w:t>
      </w:r>
    </w:p>
    <w:p w:rsidR="001C61E7" w:rsidRPr="001C61E7" w:rsidRDefault="001C61E7" w:rsidP="001C61E7">
      <w:pPr>
        <w:pStyle w:val="a4"/>
        <w:spacing w:before="0" w:beforeAutospacing="0" w:after="150" w:afterAutospacing="0" w:line="420" w:lineRule="atLeast"/>
        <w:jc w:val="center"/>
        <w:rPr>
          <w:color w:val="353535"/>
          <w:lang w:val="en-US"/>
        </w:rPr>
      </w:pPr>
      <w:r w:rsidRPr="001C61E7">
        <w:rPr>
          <w:rStyle w:val="a5"/>
          <w:color w:val="353535"/>
          <w:lang w:val="en-US"/>
        </w:rPr>
        <w:t xml:space="preserve">E–mail: </w:t>
      </w:r>
      <w:r w:rsidRPr="001C61E7">
        <w:rPr>
          <w:rStyle w:val="a5"/>
          <w:color w:val="353535"/>
          <w:lang w:val="en-US"/>
        </w:rPr>
        <w:t>Lera.ants</w:t>
      </w:r>
      <w:r w:rsidRPr="001C61E7">
        <w:rPr>
          <w:rStyle w:val="a5"/>
          <w:color w:val="353535"/>
          <w:lang w:val="en-US"/>
        </w:rPr>
        <w:t>@yandex.ru</w:t>
      </w:r>
    </w:p>
    <w:p w:rsidR="001C61E7" w:rsidRPr="001C61E7" w:rsidRDefault="001C61E7" w:rsidP="001C61E7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</w:pPr>
    </w:p>
    <w:p w:rsidR="0037709A" w:rsidRDefault="001C61E7" w:rsidP="0037709A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Сказки как жанр народного творчества занимают особое место в культурном </w:t>
      </w:r>
      <w:r w:rsidR="0037709A" w:rsidRPr="003770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r w:rsidR="003770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ространстве страны изучаемого языка</w:t>
      </w: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3770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Народные сказания</w:t>
      </w: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 только передают моральные и этические нормы, но и отражают уникальные культурные традиции и представления о мире. </w:t>
      </w:r>
      <w:r w:rsidR="003770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Подобные произведения</w:t>
      </w: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служат важным инструментом для передачи знаний, ценностей и жизненного опыта от поколения к поколению. В этом контексте концепт «даритель»</w:t>
      </w:r>
      <w:r w:rsidR="003770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который выделил</w:t>
      </w: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3770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В.А. </w:t>
      </w:r>
      <w:proofErr w:type="spellStart"/>
      <w:r w:rsidR="003770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Пропп</w:t>
      </w:r>
      <w:proofErr w:type="spellEnd"/>
      <w:r w:rsidR="003770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представляет собой один из ключевых элементов сказочного дискурса, который требует глубокого анализа.</w:t>
      </w:r>
    </w:p>
    <w:p w:rsidR="0037709A" w:rsidRDefault="0037709A" w:rsidP="0037709A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Роль</w:t>
      </w:r>
      <w:r w:rsidR="001C61E7"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«дарител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</w:t>
      </w:r>
      <w:r w:rsidR="001C61E7"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» не просто обозначает персонажа, который дарит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или дает </w:t>
      </w:r>
      <w:r w:rsidR="001C61E7"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что-либо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главному действующему лицу сказки</w:t>
      </w:r>
      <w:r w:rsidR="001C61E7"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; он включает в себя множество семантических и функциональных аспектов, связанных с актом дарения. В сказках даритель может быть как положительным, так и отрицательным персонажем, в зависимости от контекста и последствий его действий. Это позволяет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нам </w:t>
      </w:r>
      <w:r w:rsidR="001C61E7"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исследовать не только сам акт дарения, но и его влияние на развитие сюжета</w:t>
      </w:r>
      <w:r w:rsidR="00C9640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</w:t>
      </w:r>
      <w:r w:rsidR="001C61E7"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характеры персонажей.</w:t>
      </w:r>
    </w:p>
    <w:p w:rsidR="0037709A" w:rsidRDefault="001C61E7" w:rsidP="0037709A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Исследование концепта «даритель» в контексте </w:t>
      </w:r>
      <w:r w:rsidR="00C9640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русского, </w:t>
      </w: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английского и испанского языков позволяет выявить не только лексические и синтаксические особенности, но и глубокие </w:t>
      </w:r>
      <w:proofErr w:type="spellStart"/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лингвокультурологические</w:t>
      </w:r>
      <w:proofErr w:type="spellEnd"/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C9640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аспекты</w:t>
      </w: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которые определяют восприятие дара и дарителя в разных культурах. Например, в англоязычных сказках часто встречается мотив «благодарного дарителя», который помогает главному герою в трудный момент. В испанских сказках акцент может быть сделан на коллективной ответственности за дарение, что подчеркивает важность </w:t>
      </w:r>
      <w:r w:rsidR="009C2F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взаимодействия с героем</w:t>
      </w:r>
      <w:bookmarkStart w:id="0" w:name="_GoBack"/>
      <w:bookmarkEnd w:id="0"/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37709A" w:rsidRDefault="001C61E7" w:rsidP="0037709A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Культурные традиции дарения могут значительно варьироваться в зависимости от культурного контекста. Например, в некоторых культурах акты дарения могут быть связаны с определенными ритуалами или праздниками, что придает им дополнительный смысл. В других случаях дарение может восприниматься как способ демонстрации власти или статуса. Эти различия делают изучение концепта «даритель» особенно актуальным.</w:t>
      </w:r>
    </w:p>
    <w:p w:rsidR="00C96408" w:rsidRDefault="001C61E7" w:rsidP="0037709A">
      <w:pPr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Цель данного исследования заключается в анализе функционально-семантических характеристик концепта «даритель» в сказочном дискурсе на материале </w:t>
      </w:r>
      <w:r w:rsidR="00C9640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русского, </w:t>
      </w: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английского и испанского языков. </w:t>
      </w:r>
    </w:p>
    <w:p w:rsidR="0037709A" w:rsidRDefault="001C61E7" w:rsidP="0037709A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ходе работы будут проанализированы культурные традиции, связанные с актом дарения. Это позволит создать более полное представление о данном концепте.</w:t>
      </w:r>
    </w:p>
    <w:p w:rsidR="001C61E7" w:rsidRPr="001C61E7" w:rsidRDefault="001C61E7" w:rsidP="0037709A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C61E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Таким образом, данное исследование не только обогатит наши знания о сказочном дискурсе, но и поможет лучше понять, как язык и культура взаимосвязаны в контексте универсальных человеческих понятий, таких как дар и даритель. Исследование концепта «даритель» открывает новые горизонты для понимания не только литературных текстов, но и культурных практик, которые формируют наше восприятие мира. В конечном итоге это позволит глубже осознать значимость дарения как социального акта, который имеет как индивидуальное, так и коллективное значение.</w:t>
      </w:r>
    </w:p>
    <w:p w:rsidR="001C61E7" w:rsidRDefault="001C61E7"/>
    <w:p w:rsidR="001C61E7" w:rsidRDefault="001C61E7"/>
    <w:p w:rsidR="001C61E7" w:rsidRPr="001C61E7" w:rsidRDefault="001C61E7" w:rsidP="001C61E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61E7">
        <w:rPr>
          <w:rFonts w:ascii="Times New Roman" w:eastAsia="Times New Roman" w:hAnsi="Times New Roman" w:cs="Times New Roman"/>
          <w:b/>
          <w:bCs/>
          <w:color w:val="353535"/>
          <w:sz w:val="23"/>
          <w:szCs w:val="23"/>
          <w:lang w:eastAsia="ru-RU"/>
        </w:rPr>
        <w:lastRenderedPageBreak/>
        <w:t>Литература</w:t>
      </w:r>
    </w:p>
    <w:p w:rsidR="001C61E7" w:rsidRPr="001C61E7" w:rsidRDefault="001C61E7">
      <w:pPr>
        <w:rPr>
          <w:rFonts w:ascii="Times New Roman" w:hAnsi="Times New Roman" w:cs="Times New Roman"/>
        </w:rPr>
      </w:pPr>
    </w:p>
    <w:p w:rsidR="001C61E7" w:rsidRPr="001C61E7" w:rsidRDefault="001C61E7" w:rsidP="001C61E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Арутюнова, Н.Д. Язык и мир человека Текст. / Н.Д. Арутюнова. М.: Языки русской культуры, 1999. - 896 с.</w:t>
      </w:r>
    </w:p>
    <w:p w:rsidR="001C61E7" w:rsidRPr="001C61E7" w:rsidRDefault="001C61E7" w:rsidP="001C61E7">
      <w:pPr>
        <w:pStyle w:val="a6"/>
        <w:numPr>
          <w:ilvl w:val="0"/>
          <w:numId w:val="1"/>
        </w:numPr>
        <w:spacing w:after="312"/>
        <w:rPr>
          <w:rFonts w:ascii="Times New Roman" w:eastAsia="Times New Roman" w:hAnsi="Times New Roman" w:cs="Times New Roman"/>
          <w:color w:val="333333"/>
          <w:lang w:eastAsia="ru-RU"/>
        </w:rPr>
      </w:pPr>
      <w:r w:rsidRPr="001C61E7">
        <w:rPr>
          <w:rFonts w:ascii="Times New Roman" w:eastAsia="Times New Roman" w:hAnsi="Times New Roman" w:cs="Times New Roman"/>
          <w:color w:val="333333"/>
          <w:lang w:eastAsia="ru-RU"/>
        </w:rPr>
        <w:t xml:space="preserve">Бондарко, Л.В., Вербицкая, Л.А., Мартыненко, Г.Я. и др. Прикладное языкознание: Учебник Текст. / Л.В. Бондарко, Л.А. Вербицкая, </w:t>
      </w:r>
      <w:proofErr w:type="gramStart"/>
      <w:r w:rsidRPr="001C61E7">
        <w:rPr>
          <w:rFonts w:ascii="Times New Roman" w:eastAsia="Times New Roman" w:hAnsi="Times New Roman" w:cs="Times New Roman"/>
          <w:color w:val="333333"/>
          <w:lang w:eastAsia="ru-RU"/>
        </w:rPr>
        <w:t>Г .</w:t>
      </w:r>
      <w:proofErr w:type="gramEnd"/>
      <w:r w:rsidRPr="001C61E7">
        <w:rPr>
          <w:rFonts w:ascii="Times New Roman" w:eastAsia="Times New Roman" w:hAnsi="Times New Roman" w:cs="Times New Roman"/>
          <w:color w:val="333333"/>
          <w:lang w:eastAsia="ru-RU"/>
        </w:rPr>
        <w:t>Я. Мартыненко и др.- СПб.: Изд-во С.-Петербургского ун-та, 1996. 528 с.</w:t>
      </w:r>
    </w:p>
    <w:p w:rsidR="001C61E7" w:rsidRPr="001C61E7" w:rsidRDefault="001C61E7" w:rsidP="001C61E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Карасик, В.И. Языковой круг: личность, концепты, дискурс Текст. / В.И. Карасик. М.: </w:t>
      </w:r>
      <w:proofErr w:type="spellStart"/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Гнозис</w:t>
      </w:r>
      <w:proofErr w:type="spellEnd"/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, 2004. - 390 с.</w:t>
      </w:r>
    </w:p>
    <w:p w:rsidR="001C61E7" w:rsidRPr="001C61E7" w:rsidRDefault="001C61E7" w:rsidP="001C61E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Кубрякова</w:t>
      </w:r>
      <w:proofErr w:type="spellEnd"/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, Е.С. Язык и знание</w:t>
      </w:r>
      <w:proofErr w:type="gramStart"/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: На</w:t>
      </w:r>
      <w:proofErr w:type="gramEnd"/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пути получения знаний о языке: Части речи с когнитивной точки зрения. Роль языка в познании мира. Текст. / Е.С. </w:t>
      </w:r>
      <w:proofErr w:type="spellStart"/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Кубрякова</w:t>
      </w:r>
      <w:proofErr w:type="spellEnd"/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 М.: Языки славянской культуры, 2004. - 560 с.</w:t>
      </w:r>
    </w:p>
    <w:p w:rsidR="001C61E7" w:rsidRPr="001C61E7" w:rsidRDefault="001C61E7" w:rsidP="001C61E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1C61E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Лотман, Ю.М. Статьи по семиотике культуры и искусства Текст. / Ю.М. Лотман. — СПб.: Академический проект, 2002. 544 с.</w:t>
      </w:r>
    </w:p>
    <w:p w:rsidR="001C61E7" w:rsidRDefault="001C61E7" w:rsidP="001C61E7">
      <w:pPr>
        <w:pStyle w:val="a4"/>
        <w:numPr>
          <w:ilvl w:val="0"/>
          <w:numId w:val="1"/>
        </w:numPr>
        <w:spacing w:before="0" w:beforeAutospacing="0" w:after="312" w:afterAutospacing="0"/>
        <w:rPr>
          <w:color w:val="333333"/>
        </w:rPr>
      </w:pPr>
      <w:proofErr w:type="spellStart"/>
      <w:r w:rsidRPr="001C61E7">
        <w:rPr>
          <w:color w:val="333333"/>
        </w:rPr>
        <w:t>Пропп</w:t>
      </w:r>
      <w:proofErr w:type="spellEnd"/>
      <w:r w:rsidRPr="001C61E7">
        <w:rPr>
          <w:color w:val="333333"/>
        </w:rPr>
        <w:t xml:space="preserve">, В.Я. Фольклор и действительность (Избранные статьи) Текст. / В.Я. </w:t>
      </w:r>
      <w:proofErr w:type="spellStart"/>
      <w:r w:rsidRPr="001C61E7">
        <w:rPr>
          <w:color w:val="333333"/>
        </w:rPr>
        <w:t>Пропп</w:t>
      </w:r>
      <w:proofErr w:type="spellEnd"/>
      <w:r w:rsidRPr="001C61E7">
        <w:rPr>
          <w:color w:val="333333"/>
        </w:rPr>
        <w:t>. М.: Наука, 1976. - 325 с.</w:t>
      </w:r>
    </w:p>
    <w:p w:rsidR="001C61E7" w:rsidRPr="001C61E7" w:rsidRDefault="001C61E7" w:rsidP="001C61E7">
      <w:pPr>
        <w:pStyle w:val="a4"/>
        <w:numPr>
          <w:ilvl w:val="0"/>
          <w:numId w:val="1"/>
        </w:numPr>
        <w:spacing w:before="0" w:beforeAutospacing="0" w:after="312" w:afterAutospacing="0"/>
        <w:rPr>
          <w:color w:val="333333"/>
        </w:rPr>
      </w:pPr>
      <w:proofErr w:type="spellStart"/>
      <w:r w:rsidRPr="001C61E7">
        <w:rPr>
          <w:color w:val="333333"/>
        </w:rPr>
        <w:t>Пропп</w:t>
      </w:r>
      <w:proofErr w:type="spellEnd"/>
      <w:r w:rsidRPr="001C61E7">
        <w:rPr>
          <w:color w:val="333333"/>
        </w:rPr>
        <w:t xml:space="preserve">, В.Я. Морфология &lt;волшебной&gt; сказки. Исторические корни волшебной сказки Текст. / В.Я. </w:t>
      </w:r>
      <w:proofErr w:type="spellStart"/>
      <w:r w:rsidRPr="001C61E7">
        <w:rPr>
          <w:color w:val="333333"/>
        </w:rPr>
        <w:t>Пропп</w:t>
      </w:r>
      <w:proofErr w:type="spellEnd"/>
      <w:r w:rsidRPr="001C61E7">
        <w:rPr>
          <w:color w:val="333333"/>
        </w:rPr>
        <w:t>. — М.: Лабиринт, 1998. — 512 с.</w:t>
      </w:r>
    </w:p>
    <w:p w:rsidR="001C61E7" w:rsidRPr="001C61E7" w:rsidRDefault="001C61E7" w:rsidP="001C61E7">
      <w:pPr>
        <w:rPr>
          <w:rFonts w:ascii="Times New Roman" w:eastAsia="Times New Roman" w:hAnsi="Times New Roman" w:cs="Times New Roman"/>
          <w:lang w:eastAsia="ru-RU"/>
        </w:rPr>
      </w:pPr>
    </w:p>
    <w:p w:rsidR="001C61E7" w:rsidRDefault="001C61E7"/>
    <w:sectPr w:rsidR="001C61E7" w:rsidSect="001C61E7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20647"/>
    <w:multiLevelType w:val="hybridMultilevel"/>
    <w:tmpl w:val="234E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E7"/>
    <w:rsid w:val="001C61E7"/>
    <w:rsid w:val="0037709A"/>
    <w:rsid w:val="00952011"/>
    <w:rsid w:val="009C2FF7"/>
    <w:rsid w:val="00A5496B"/>
    <w:rsid w:val="00C9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AAAC"/>
  <w15:chartTrackingRefBased/>
  <w15:docId w15:val="{E46ED1C3-C2FE-6A40-AA72-B3F8E32B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1E7"/>
    <w:rPr>
      <w:b/>
      <w:bCs/>
    </w:rPr>
  </w:style>
  <w:style w:type="paragraph" w:styleId="a4">
    <w:name w:val="Normal (Web)"/>
    <w:basedOn w:val="a"/>
    <w:uiPriority w:val="99"/>
    <w:semiHidden/>
    <w:unhideWhenUsed/>
    <w:rsid w:val="001C61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1C61E7"/>
    <w:rPr>
      <w:i/>
      <w:iCs/>
    </w:rPr>
  </w:style>
  <w:style w:type="paragraph" w:styleId="a6">
    <w:name w:val="List Paragraph"/>
    <w:basedOn w:val="a"/>
    <w:uiPriority w:val="34"/>
    <w:qFormat/>
    <w:rsid w:val="001C6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2025-03-10T07:12:00Z</dcterms:created>
  <dcterms:modified xsi:type="dcterms:W3CDTF">2025-03-10T07:44:00Z</dcterms:modified>
</cp:coreProperties>
</file>