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docs-internal-guid-26e1a491-7fff-9993-33"/>
      <w:bookmarkEnd w:id="0"/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Выбор личного местоимения как показатель вежливости в азербайджанском языке.</w:t>
      </w:r>
    </w:p>
    <w:p>
      <w:pPr>
        <w:pStyle w:val="Style16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Григорьев Севастьян Ильич</w:t>
      </w:r>
    </w:p>
    <w:p>
      <w:pPr>
        <w:pStyle w:val="Style16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Студент Московского государственного университета имени М. В. Ломоносова, Москва, Россия</w:t>
      </w:r>
    </w:p>
    <w:p>
      <w:pPr>
        <w:pStyle w:val="Style16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В лингвистике вежливость чаще всего исследуется в системе гонорификации, которая имеет свою специфику в каждом языке, в том числе через верный выбор личного местоимения [Плунгян: 258].</w:t>
      </w:r>
    </w:p>
    <w:p>
      <w:pPr>
        <w:pStyle w:val="Style16"/>
        <w:bidi w:val="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В западной лингвистике популярна модель лингвистической вежливости, разработанная П. Браун и С. Левинсоном (1987). В рамках этой модели выделяют негативную и позитивную вежливость, где личные местоимения рассматриваются по-разному. Так, в случае позитивной вежливости используется местоимение, которое схоже с русским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ты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и подчеркивает близость между собеседниками, а в случае негативной вежливости – местоимение, соответствующее русскому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Вы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и выражающее почтение.</w:t>
      </w:r>
    </w:p>
    <w:p>
      <w:pPr>
        <w:pStyle w:val="Style16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В данном докладе речь идет о том, как в азербайджанском языке выражается вежливое отношение с помощью личных местоимений. Весной 2024 года была разработана анкета на русском языке для носителей азербайджанского языка. В качестве информантов выступили этнические азербайджанцы старше 18 лет (27-65 лет), которые на тот момент постоянно проживали на территории Азербайджанской Республики (8 человек), либо работали в Российской Федерации (4 человека). Анкета включала несколько гипотетических ситуаций, в которых информант должен был сделать выбор местоимения на азербайджанском языке. Например, ему предлагалось сказать, какое местоимение: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s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ən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(ты) или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siz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(Вы)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он обычно использует при обращении к родственникам, на работе, в официальных учреждениях и т.д.</w:t>
      </w:r>
    </w:p>
    <w:p>
      <w:pPr>
        <w:pStyle w:val="Style16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В целом, исследование выявило, что наиболее употребимыми формами являются личные местоимения 2 лица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s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ən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(ты) и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siz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(Вы). Кроме того, получены следующие результаты;</w:t>
      </w:r>
    </w:p>
    <w:p>
      <w:pPr>
        <w:pStyle w:val="Style16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Большинство информантов утверждало, что при обращении к родственникам нужно использовать местоимение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sən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(ты).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  <w:lang w:val="en-US"/>
        </w:rPr>
        <w:t>S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ən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Zibilli tulladın?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Ты выбросил мусор?</w:t>
      </w:r>
    </w:p>
    <w:p>
      <w:pPr>
        <w:pStyle w:val="Style16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При обращении к сверстникам носители азербайджанского языка предпочитали использовать местоимение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sən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(ты). Многие отметили, что впервые они обратились к сверстникам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s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iz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(Вы) после окончания школы, но достаточно быстро переходили на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sən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(ты).</w:t>
      </w:r>
    </w:p>
    <w:p>
      <w:pPr>
        <w:pStyle w:val="Style16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Информанты отметили, что при обращении к коллегам принято использовать местоимение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siz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(Вы), но, если люди давно знакомы, одного возраста, то допустимо местоимение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sən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(ты).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  <w:lang w:val="en-US"/>
        </w:rPr>
        <w:t>S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ən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əmək haqqını aldın?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Ты получил зарплату?</w:t>
      </w:r>
    </w:p>
    <w:p>
      <w:pPr>
        <w:pStyle w:val="Style16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Все информанты указали, что при обращении к незнакомцу нужно всегда говорить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siz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(Вы). Следует отметить, что к ребёнку допустимо обращаться на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sən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(ты), а к подростку можно обращаться на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siz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(Вы).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Ağıllı balam əyləşiz.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Дорогой ребёнок, садитесь.</w:t>
      </w:r>
    </w:p>
    <w:p>
      <w:pPr>
        <w:pStyle w:val="Style16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По мнению информантов, в любом магазине, независимо от его статуса, всегда используется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siz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 (Вы):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Sizin mağazada dondurma var?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У Вас в магазине продаётся мороженое?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Употребление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sən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(ты) в магазинах является показателем низкой культуры: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  <w:lang w:val="en-US"/>
        </w:rPr>
        <w:t>S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ən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en-US"/>
        </w:rPr>
        <w:t>m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ənə göstər, mənə ver.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Покажи мне, дай мне.</w:t>
      </w:r>
    </w:p>
    <w:p>
      <w:pPr>
        <w:pStyle w:val="Style16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Что касается разговоров по телефону, бесед в официальных учреждениях, а также обращений к незнакомцам на улице, носители азербайджанского языка подчеркнули, что необходимо употреблять местоимение</w:t>
      </w:r>
      <w:bookmarkStart w:id="1" w:name="__DdeLink__95_2853893900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siz</w:t>
      </w:r>
      <w:bookmarkEnd w:id="1"/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(Вы).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Deyə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siz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bilərsinizmi, ən yaxın aptek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  <w:lang w:val="en-US"/>
        </w:rPr>
        <w:t>?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Не могли бы Вы сказать, где ближайшая аптека?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Siz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  <w:lang w:val="en-US"/>
        </w:rPr>
        <w:t>k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ömək edə bilərsinizmi?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Не могли бы Вы помочь?</w:t>
      </w:r>
    </w:p>
    <w:p>
      <w:pPr>
        <w:pStyle w:val="Style16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Важно отметить, что весомость местоимению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siz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(Вы) придают особые формы, которые добавляются после личного имени уважаемого человека. Например, xanım добавляется к именам взрослых женщин (Sevda-xanım), müəllimə – к именам учительниц азербайджанского языка в школе (Renə- müəllimə), müəllim – для мужчин пожилого возраста и всех преподавателей (Aladdin-müəllim), bəy – для мужчин очень высокого статуса (Arastun-bəy).</w:t>
      </w:r>
    </w:p>
    <w:p>
      <w:pPr>
        <w:pStyle w:val="Style16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Следует подчеркнуть, в азербайджанском языке существует уникальная местоименная форма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sizlər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. Она означает уважительное обращение к группе уважаемых людей, считается устаревшей, употребляется редко, чаще всего встречается в литературных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произведениях.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Salam olsun sizlərə əziz izləyicilər.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Приветствую всех дорогие зрители.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Danışın görək, cavanlar, sizlərdə nə var, nə yox!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Давайте поговорим, посмотрим, господа, что у вас есть и чего нет!</w:t>
      </w:r>
    </w:p>
    <w:p>
      <w:pPr>
        <w:pStyle w:val="Style16"/>
        <w:numPr>
          <w:ilvl w:val="0"/>
          <w:numId w:val="0"/>
        </w:numPr>
        <w:bidi w:val="0"/>
        <w:spacing w:lineRule="auto" w:line="240" w:before="0" w:after="0"/>
        <w:ind w:left="149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(Взято из романа « Открытая книга» Мир Джалала Пашаева)</w:t>
      </w:r>
    </w:p>
    <w:p>
      <w:pPr>
        <w:pStyle w:val="Style16"/>
        <w:bidi w:val="0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C2D2E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2C2D2E"/>
          <w:u w:val="none"/>
          <w:effect w:val="none"/>
        </w:rPr>
      </w:r>
    </w:p>
    <w:p>
      <w:pPr>
        <w:pStyle w:val="Style16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С точки зрения научных перспектив, представляется интересными специфические местоименные форм, которые могут усиливать уважение и значимость лиц, к которым обращаются, а также формы, которые подчеркивают собственную значимость говорящих. В тюркской группе языков отслеживаются эти уникальные местоименные формы, которые необходимо детально изучить.</w:t>
      </w:r>
    </w:p>
    <w:p>
      <w:pPr>
        <w:pStyle w:val="Style16"/>
        <w:bidi w:val="0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C2D2E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2C2D2E"/>
          <w:u w:val="none"/>
          <w:effect w:val="none"/>
        </w:rPr>
      </w:r>
    </w:p>
    <w:p>
      <w:pPr>
        <w:pStyle w:val="Style16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Литература</w:t>
      </w:r>
    </w:p>
    <w:p>
      <w:pPr>
        <w:pStyle w:val="Style16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Плунгян В.А. Общая морфология: Введение в проблематику. М.: Едиториал УРСС, 2003.</w:t>
      </w:r>
    </w:p>
    <w:p>
      <w:pPr>
        <w:pStyle w:val="Style16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Brown, P., and Levinson, S. Politeness: Some Universals in Language Usage.Cambridge: Cambridge University Press.1987</w:t>
      </w:r>
    </w:p>
    <w:p>
      <w:pPr>
        <w:pStyle w:val="Style16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C2D2E"/>
          <w:sz w:val="24"/>
          <w:szCs w:val="24"/>
          <w:u w:val="none"/>
          <w:effect w:val="none"/>
        </w:rPr>
        <w:t>Mir Cəlal. Seçilmiş əsərləri. Bakı: "Şərq-Qərb". 2005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decimal"/>
      <w:lvlText w:val="%3.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</w:lvl>
    <w:lvl w:ilvl="4">
      <w:start w:val="1"/>
      <w:numFmt w:val="decimal"/>
      <w:lvlText w:val="%5."/>
      <w:lvlJc w:val="left"/>
      <w:pPr>
        <w:tabs>
          <w:tab w:val="num" w:pos="2934"/>
        </w:tabs>
        <w:ind w:left="2934" w:hanging="360"/>
      </w:pPr>
    </w:lvl>
    <w:lvl w:ilvl="5">
      <w:start w:val="1"/>
      <w:numFmt w:val="decimal"/>
      <w:lvlText w:val="%6.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decimal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decimal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6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LibreOffice/6.2.2.2$Windows_x86 LibreOffice_project/2b840030fec2aae0fd2658d8d4f9548af4e3518d</Application>
  <Pages>2</Pages>
  <Words>638</Words>
  <Characters>4158</Characters>
  <CharactersWithSpaces>4755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2025-03-03T11:14:28Z</dcterms:modified>
  <cp:revision>8</cp:revision>
  <dc:subject/>
  <dc:title/>
</cp:coreProperties>
</file>