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Фальшивые индексикалы в русском языке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анализ через логофоричность</w:t>
      </w:r>
      <w:r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Парамонова Дарья Александровна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студентка МГУ им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Россия </w:t>
      </w:r>
    </w:p>
    <w:p>
      <w:pPr>
        <w:pStyle w:val="Body"/>
        <w:spacing w:line="240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Введение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исследовании рассматриваются контексты семантического связывания анафорических местоимений </w:t>
      </w:r>
      <w:r>
        <w:rPr>
          <w:rFonts w:ascii="Times New Roman" w:hAnsi="Times New Roman"/>
          <w:sz w:val="24"/>
          <w:szCs w:val="24"/>
          <w:rtl w:val="0"/>
        </w:rPr>
        <w:t xml:space="preserve">1/2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 в русском языке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Для английского и ряда других языков был сформулирован соответствующий формальный анализ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объясняющий поведение так называемых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фальшивых индексикалов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– местоимений </w:t>
      </w:r>
      <w:r>
        <w:rPr>
          <w:rFonts w:ascii="Times New Roman" w:hAnsi="Times New Roman"/>
          <w:sz w:val="24"/>
          <w:szCs w:val="24"/>
          <w:rtl w:val="0"/>
        </w:rPr>
        <w:t xml:space="preserve">1/2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лица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которые функционируют как связанные переменные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хотя должны однозначно соотноситься с говорящим</w:t>
      </w:r>
      <w:r>
        <w:rPr>
          <w:rFonts w:ascii="Times New Roman" w:hAnsi="Times New Roman"/>
          <w:sz w:val="24"/>
          <w:szCs w:val="24"/>
          <w:rtl w:val="0"/>
        </w:rPr>
        <w:t>/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слушающим и не могут иметь связанной интерпретации </w:t>
      </w:r>
      <w:r>
        <w:rPr>
          <w:rFonts w:ascii="Times New Roman" w:hAnsi="Times New Roman"/>
          <w:sz w:val="24"/>
          <w:szCs w:val="24"/>
          <w:rtl w:val="0"/>
          <w:lang w:val="pt-PT"/>
        </w:rPr>
        <w:t xml:space="preserve">[Partee 1989].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Для русского языка нет формальных описаний местоимений в теории фальшивых индексикалов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([Bassi 2019], [Kratzer 2009]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и т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</w:t>
      </w:r>
      <w:r>
        <w:rPr>
          <w:rFonts w:ascii="Times New Roman" w:hAnsi="Times New Roman"/>
          <w:sz w:val="24"/>
          <w:szCs w:val="24"/>
          <w:rtl w:val="0"/>
        </w:rPr>
        <w:t xml:space="preserve">.). </w:t>
      </w:r>
    </w:p>
    <w:p>
      <w:pPr>
        <w:pStyle w:val="Body"/>
        <w:spacing w:line="240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Заметки о дизайне эксперимента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В эксперименте анализировались предложения с русской фокусной частицей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только</w:t>
      </w:r>
      <w:r>
        <w:rPr>
          <w:rFonts w:ascii="Times New Roman" w:hAnsi="Times New Roman"/>
          <w:sz w:val="24"/>
          <w:szCs w:val="24"/>
          <w:rtl w:val="0"/>
        </w:rPr>
        <w:t xml:space="preserve"> (1).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Также мы рассматривали тип связанного местоимения и его антецедента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 также тип предложения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котором оно находилось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докладе мы представим подробное описание эксперимента со всей необходимой статистикой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</w:rPr>
        <w:t>(1)</w:t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я ем 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готовят мои дети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tab/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связ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.</w:t>
      </w:r>
      <w:r>
        <w:rPr>
          <w:rFonts w:ascii="Times New Roman" w:hAnsi="Times New Roman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Другие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x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 едят 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готовят дети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x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’а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tab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кореф</w:t>
      </w:r>
      <w:r>
        <w:rPr>
          <w:rFonts w:ascii="Times New Roman" w:hAnsi="Times New Roman"/>
          <w:sz w:val="24"/>
          <w:szCs w:val="24"/>
          <w:rtl w:val="0"/>
        </w:rPr>
        <w:t xml:space="preserve">.: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Другие </w:t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>x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не едят то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что готовят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мои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дети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spacing w:line="240" w:lineRule="auto"/>
        <w:ind w:firstLine="708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Экспериментальные данные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: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Опишем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некоторые выводы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полученные в результате обработки экспериментальных данных 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в качестве статистического критерия был посчитан χ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2):</w:t>
      </w:r>
    </w:p>
    <w:p>
      <w:pPr>
        <w:pStyle w:val="Body"/>
        <w:spacing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Нулевые местоимения с бóльшей вероятностью будут семантически связаны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чем выраженные личные местоимения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.</w:t>
      </w:r>
    </w:p>
    <w:p>
      <w:pPr>
        <w:pStyle w:val="Body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Местоимения в сентенциальных аргументах скорее будут семантически связаны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 наличии с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командования</w:t>
      </w:r>
      <w:r>
        <w:rPr>
          <w:rFonts w:ascii="Times New Roman" w:hAnsi="Times New Roman"/>
          <w:sz w:val="24"/>
          <w:szCs w:val="24"/>
          <w:rtl w:val="0"/>
        </w:rPr>
        <w:t xml:space="preserve">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чем местоимения в относительных клаузах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Притяжательные местоимения в качестве антецедентов личных местоимений скорее не допускают семантическое связывание индексикала</w:t>
      </w:r>
      <w:r>
        <w:rPr>
          <w:rFonts w:ascii="Times New Roman" w:hAnsi="Times New Roman"/>
          <w:sz w:val="24"/>
          <w:szCs w:val="24"/>
          <w:rtl w:val="0"/>
        </w:rPr>
        <w:t>.</w:t>
      </w:r>
    </w:p>
    <w:p>
      <w:pPr>
        <w:pStyle w:val="Body"/>
        <w:spacing w:line="240" w:lineRule="auto"/>
        <w:jc w:val="both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В докладе мы также обсудим другие экспериментальные выводы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которые уже упоминались в значительном количестве литературы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.</w:t>
      </w:r>
    </w:p>
    <w:p>
      <w:pPr>
        <w:pStyle w:val="Body"/>
        <w:spacing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 xml:space="preserve">Нулевые 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pt-PT"/>
        </w:rPr>
        <w:t xml:space="preserve">vs.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выраженные местоимения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>: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Связывание нулевых местоимений кажется респондентам более удачным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чем связывание выраженных личных местоимений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Фактически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и нулевые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и выраженные личные местоимения с бóльшей вероятностью будут связаны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если они являются субъектами вложенного сентенциального аргумента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но в относительных клаузах нулевые местоимения допускают семантическое связывание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в то время как выраженные личные местоимения в основном имеют кореферентное прочтение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Вслед за 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de-DE"/>
          <w14:textFill>
            <w14:solidFill>
              <w14:srgbClr w14:val="1F1F1F"/>
            </w14:solidFill>
          </w14:textFill>
        </w:rPr>
        <w:t xml:space="preserve">[Kratzer 2009]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предположим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что связывание возможно только тогда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когда присутствует цепочка согласования через 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C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от матричного предиката к местоимению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:</w:t>
      </w:r>
    </w:p>
    <w:p>
      <w:pPr>
        <w:pStyle w:val="Body"/>
        <w:spacing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  <mc:AlternateContent>
          <mc:Choice Requires="wpg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918046</wp:posOffset>
                </wp:positionH>
                <wp:positionV relativeFrom="line">
                  <wp:posOffset>190516</wp:posOffset>
                </wp:positionV>
                <wp:extent cx="904025" cy="190481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025" cy="190481"/>
                          <a:chOff x="0" y="0"/>
                          <a:chExt cx="904024" cy="190480"/>
                        </a:xfrm>
                      </wpg:grpSpPr>
                      <wps:wsp>
                        <wps:cNvPr id="1073741825" name="Shape 1073741825"/>
                        <wps:cNvSpPr/>
                        <wps:spPr>
                          <a:xfrm>
                            <a:off x="4538" y="5276"/>
                            <a:ext cx="897179" cy="877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26" name="Shape 1073741826"/>
                        <wps:cNvSpPr/>
                        <wps:spPr>
                          <a:xfrm flipH="1">
                            <a:off x="902651" y="10545"/>
                            <a:ext cx="1374" cy="179936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27" name="Shape 1073741827"/>
                        <wps:cNvSpPr/>
                        <wps:spPr>
                          <a:xfrm flipH="1">
                            <a:off x="0" y="0"/>
                            <a:ext cx="1" cy="15814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visibility:visible;position:absolute;margin-left:72.3pt;margin-top:15.0pt;width:71.2pt;height:15.0pt;z-index:251659264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904025,190480">
                <w10:wrap type="none" side="bothSides" anchorx="text"/>
                <v:line id="_x0000_s1027" style="position:absolute;left:4538;top:5277;width:897178;height:8770;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line>
                <v:line id="_x0000_s1028" style="position:absolute;left:902652;top:10545;width:1373;height:179935;flip:x;">
                  <v:fill on="f"/>
                  <v:stroke filltype="solid" color="#000000" opacity="100.0%" weight="0.8pt" dashstyle="solid" endcap="flat" joinstyle="round" linestyle="single" startarrow="none" startarrowwidth="medium" startarrowlength="medium" endarrow="block" endarrowwidth="medium" endarrowlength="medium"/>
                </v:line>
                <v:line id="_x0000_s1029" style="position:absolute;left:0;top:0;width:0;height:158140;flip:x;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  <w:r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  <mc:AlternateContent>
          <mc:Choice Requires="wpg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1789384</wp:posOffset>
                </wp:positionH>
                <wp:positionV relativeFrom="line">
                  <wp:posOffset>581036</wp:posOffset>
                </wp:positionV>
                <wp:extent cx="314906" cy="190428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4906" cy="190428"/>
                          <a:chOff x="0" y="0"/>
                          <a:chExt cx="314905" cy="190427"/>
                        </a:xfrm>
                      </wpg:grpSpPr>
                      <wps:wsp>
                        <wps:cNvPr id="1073741829" name="Shape 1073741829"/>
                        <wps:cNvSpPr/>
                        <wps:spPr>
                          <a:xfrm flipH="1">
                            <a:off x="310876" y="47423"/>
                            <a:ext cx="757" cy="135978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0" name="Shape 1073741830"/>
                        <wps:cNvSpPr/>
                        <wps:spPr>
                          <a:xfrm flipH="1">
                            <a:off x="231" y="182141"/>
                            <a:ext cx="314675" cy="262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1" name="Shape 1073741831"/>
                        <wps:cNvSpPr/>
                        <wps:spPr>
                          <a:xfrm flipV="1">
                            <a:off x="0" y="0"/>
                            <a:ext cx="1766" cy="190428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0" style="visibility:visible;position:absolute;margin-left:140.9pt;margin-top:45.8pt;width:24.8pt;height:15.0pt;z-index:251660288;mso-position-horizontal:absolute;mso-position-horizontal-relative:text;mso-position-vertical:absolute;mso-position-vertical-relative:line;mso-wrap-distance-left:0.0pt;mso-wrap-distance-top:0.0pt;mso-wrap-distance-right:0.0pt;mso-wrap-distance-bottom:0.0pt;" coordorigin="0,0" coordsize="314906,190427">
                <w10:wrap type="none" side="bothSides" anchorx="text"/>
                <v:line id="_x0000_s1031" style="position:absolute;left:310877;top:47423;width:756;height:135977;flip:x;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line>
                <v:line id="_x0000_s1032" style="position:absolute;left:232;top:182141;width:314674;height:2620;flip:x;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line>
                <v:line id="_x0000_s1033" style="position:absolute;left:0;top:0;width:1765;height:190427;flip:y;">
                  <v:fill on="f"/>
                  <v:stroke filltype="solid" color="#000000" opacity="100.0%" weight="0.8pt" dashstyle="solid" endcap="flat" joinstyle="round" linestyle="single" startarrow="none" startarrowwidth="medium" startarrowlength="medium" endarrow="block" endarrowwidth="medium" endarrowlength="medium"/>
                </v:line>
              </v:group>
            </w:pict>
          </mc:Fallback>
        </mc:AlternateContent>
      </w:r>
      <w:r>
        <w:rPr>
          <w:rFonts w:ascii="Times New Roman" w:hAnsi="Times New Roman"/>
          <w:sz w:val="24"/>
          <w:szCs w:val="24"/>
          <w:rtl w:val="0"/>
          <w:lang w:val="it-IT"/>
        </w:rPr>
        <w:t>(2)</w:t>
        <w:tab/>
        <w:t xml:space="preserve">a.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Только я сказал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гуляю</w:t>
      </w:r>
      <w:r>
        <w:rPr>
          <w:rFonts w:ascii="Times New Roman" w:hAnsi="Times New Roman"/>
          <w:sz w:val="24"/>
          <w:szCs w:val="24"/>
          <w:rtl w:val="0"/>
        </w:rPr>
        <w:t>.</w:t>
      </w:r>
      <w:r>
        <w:rPr>
          <w:rFonts w:ascii="Times New Roman" w:cs="Times New Roman" w:hAnsi="Times New Roman" w:eastAsia="Times New Roman"/>
          <w:sz w:val="24"/>
          <w:szCs w:val="24"/>
        </w:rPr>
        <w:br w:type="textWrapping"/>
        <w:tab/>
        <w:br w:type="textWrapping"/>
        <w:tab/>
      </w:r>
      <w:r>
        <w:rPr>
          <w:rFonts w:ascii="Times New Roman" w:hAnsi="Times New Roman"/>
          <w:i w:val="1"/>
          <w:iCs w:val="1"/>
          <w:sz w:val="24"/>
          <w:szCs w:val="24"/>
          <w:rtl w:val="0"/>
        </w:rPr>
        <w:t xml:space="preserve">b. </w:t>
      </w:r>
      <m:oMath>
        <m:sSub>
          <m:e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>[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>C</m:t>
            </m:r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>P</m:t>
            </m:r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/>
            </m:r>
          </m:sub>
        </m:sSub>
        <m:r>
          <w:rPr xmlns:w="http://schemas.openxmlformats.org/wordprocessingml/2006/main">
            <w:rFonts w:ascii="Cambria Math" w:hAnsi="Cambria Math"/>
            <w:i/>
            <w:color w:val="1f1f1f"/>
            <w:sz w:val="25"/>
            <w:szCs w:val="25"/>
          </w:rPr>
          <m:t/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>C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>λ</m:t>
            </m:r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>[</m:t>
            </m:r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>n</m:t>
            </m:r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>]</m:t>
            </m:r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/>
            </m:r>
          </m:sub>
        </m:sSub>
        <m:sSub>
          <m:e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>[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>T</m:t>
            </m:r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>P</m:t>
            </m:r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/>
            </m:r>
          </m:sub>
        </m:sSub>
        <m:r>
          <w:rPr xmlns:w="http://schemas.openxmlformats.org/wordprocessingml/2006/main">
            <w:rFonts w:ascii="Cambria Math" w:hAnsi="Cambria Math"/>
            <w:i/>
            <w:color w:val="1f1f1f"/>
            <w:sz w:val="25"/>
            <w:szCs w:val="25"/>
          </w:rPr>
          <m:t/>
        </m:r>
        <m:r>
          <w:rPr xmlns:w="http://schemas.openxmlformats.org/wordprocessingml/2006/main">
            <w:rFonts w:ascii="Cambria Math" w:hAnsi="Cambria Math"/>
            <w:i/>
            <w:color w:val="1f1f1f"/>
            <w:sz w:val="25"/>
            <w:szCs w:val="25"/>
          </w:rPr>
          <m:t>T</m:t>
        </m:r>
        <m:r>
          <w:rPr xmlns:w="http://schemas.openxmlformats.org/wordprocessingml/2006/main">
            <w:rFonts w:ascii="Cambria Math" w:hAnsi="Cambria Math"/>
            <w:i/>
            <w:color w:val="1f1f1f"/>
            <w:sz w:val="25"/>
            <w:szCs w:val="25"/>
          </w:rPr>
          <m:t/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>[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>v</m:t>
            </m:r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>P</m:t>
            </m:r>
            <m:r>
              <w:rPr xmlns:w="http://schemas.openxmlformats.org/wordprocessingml/2006/main">
                <w:rFonts w:ascii="Cambria Math" w:hAnsi="Cambria Math"/>
                <w:i/>
                <w:color w:val="1f1f1f"/>
                <w:sz w:val="25"/>
                <w:szCs w:val="25"/>
              </w:rPr>
              <m:t/>
            </m:r>
          </m:sub>
        </m:sSub>
        <m:sSub>
          <m:e>
            <m:r>
              <w:rPr xmlns:w="http://schemas.openxmlformats.org/wordprocessingml/2006/main">
                <w:rFonts w:ascii="Cambria Math" w:hAnsi="Cambria Math"/>
                <w:i/>
                <w:color w:val="474747"/>
                <w:sz w:val="25"/>
                <w:szCs w:val="25"/>
              </w:rPr>
              <m:t/>
            </m:r>
            <m:r>
              <w:rPr xmlns:w="http://schemas.openxmlformats.org/wordprocessingml/2006/main">
                <w:rFonts w:ascii="Cambria Math" w:hAnsi="Cambria Math"/>
                <w:i/>
                <w:color w:val="474747"/>
                <w:sz w:val="25"/>
                <w:szCs w:val="25"/>
              </w:rPr>
              <m:t>Ø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474747"/>
                <w:sz w:val="25"/>
                <w:szCs w:val="25"/>
              </w:rPr>
              <m:t>[</m:t>
            </m:r>
            <m:r>
              <w:rPr xmlns:w="http://schemas.openxmlformats.org/wordprocessingml/2006/main">
                <w:rFonts w:ascii="Cambria Math" w:hAnsi="Cambria Math"/>
                <w:i/>
                <w:color w:val="474747"/>
                <w:sz w:val="25"/>
                <w:szCs w:val="25"/>
              </w:rPr>
              <m:t>n</m:t>
            </m:r>
            <m:r>
              <w:rPr xmlns:w="http://schemas.openxmlformats.org/wordprocessingml/2006/main">
                <w:rFonts w:ascii="Cambria Math" w:hAnsi="Cambria Math"/>
                <w:i/>
                <w:color w:val="474747"/>
                <w:sz w:val="25"/>
                <w:szCs w:val="25"/>
              </w:rPr>
              <m:t>]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474747"/>
            <w:sz w:val="25"/>
            <w:szCs w:val="25"/>
          </w:rPr>
          <m:t/>
        </m:r>
        <m:sSub>
          <m:e>
            <m:r>
              <w:rPr xmlns:w="http://schemas.openxmlformats.org/wordprocessingml/2006/main">
                <w:rFonts w:ascii="Cambria Math" w:hAnsi="Cambria Math"/>
                <w:i/>
                <w:color w:val="474747"/>
                <w:sz w:val="25"/>
                <w:szCs w:val="25"/>
              </w:rPr>
              <m:t>v</m:t>
            </m:r>
          </m:e>
          <m:sub>
            <m:r>
              <w:rPr xmlns:w="http://schemas.openxmlformats.org/wordprocessingml/2006/main">
                <w:rFonts w:ascii="Cambria Math" w:hAnsi="Cambria Math"/>
                <w:i/>
                <w:color w:val="474747"/>
                <w:sz w:val="25"/>
                <w:szCs w:val="25"/>
              </w:rPr>
              <m:t>λ</m:t>
            </m:r>
            <m:r>
              <w:rPr xmlns:w="http://schemas.openxmlformats.org/wordprocessingml/2006/main">
                <w:rFonts w:ascii="Cambria Math" w:hAnsi="Cambria Math"/>
                <w:i/>
                <w:color w:val="474747"/>
                <w:sz w:val="25"/>
                <w:szCs w:val="25"/>
              </w:rPr>
              <m:t>[</m:t>
            </m:r>
            <m:r>
              <w:rPr xmlns:w="http://schemas.openxmlformats.org/wordprocessingml/2006/main">
                <w:rFonts w:ascii="Cambria Math" w:hAnsi="Cambria Math"/>
                <w:i/>
                <w:color w:val="474747"/>
                <w:sz w:val="25"/>
                <w:szCs w:val="25"/>
              </w:rPr>
              <m:t>n</m:t>
            </m:r>
            <m:r>
              <w:rPr xmlns:w="http://schemas.openxmlformats.org/wordprocessingml/2006/main">
                <w:rFonts w:ascii="Cambria Math" w:hAnsi="Cambria Math"/>
                <w:i/>
                <w:color w:val="474747"/>
                <w:sz w:val="25"/>
                <w:szCs w:val="25"/>
              </w:rPr>
              <m:t>]</m:t>
            </m:r>
          </m:sub>
        </m:sSub>
        <m:r>
          <w:rPr xmlns:w="http://schemas.openxmlformats.org/wordprocessingml/2006/main">
            <w:rFonts w:ascii="Cambria Math" w:hAnsi="Cambria Math"/>
            <w:i/>
            <w:color w:val="474747"/>
            <w:sz w:val="25"/>
            <w:szCs w:val="25"/>
          </w:rPr>
          <m:t/>
        </m:r>
        <m:r>
          <w:rPr xmlns:w="http://schemas.openxmlformats.org/wordprocessingml/2006/main">
            <w:rFonts w:ascii="Cambria Math" w:hAnsi="Cambria Math"/>
            <w:i/>
            <w:color w:val="474747"/>
            <w:sz w:val="25"/>
            <w:szCs w:val="25"/>
          </w:rPr>
          <m:t>г</m:t>
        </m:r>
        <m:r>
          <w:rPr xmlns:w="http://schemas.openxmlformats.org/wordprocessingml/2006/main">
            <w:rFonts w:ascii="Cambria Math" w:hAnsi="Cambria Math"/>
            <w:i/>
            <w:color w:val="474747"/>
            <w:sz w:val="25"/>
            <w:szCs w:val="25"/>
          </w:rPr>
          <m:t>у</m:t>
        </m:r>
        <m:r>
          <w:rPr xmlns:w="http://schemas.openxmlformats.org/wordprocessingml/2006/main">
            <w:rFonts w:ascii="Cambria Math" w:hAnsi="Cambria Math"/>
            <w:i/>
            <w:color w:val="474747"/>
            <w:sz w:val="25"/>
            <w:szCs w:val="25"/>
          </w:rPr>
          <m:t>л</m:t>
        </m:r>
        <m:r>
          <w:rPr xmlns:w="http://schemas.openxmlformats.org/wordprocessingml/2006/main">
            <w:rFonts w:ascii="Cambria Math" w:hAnsi="Cambria Math"/>
            <w:i/>
            <w:color w:val="474747"/>
            <w:sz w:val="25"/>
            <w:szCs w:val="25"/>
          </w:rPr>
          <m:t>я</m:t>
        </m:r>
        <m:r>
          <w:rPr xmlns:w="http://schemas.openxmlformats.org/wordprocessingml/2006/main">
            <w:rFonts w:ascii="Cambria Math" w:hAnsi="Cambria Math"/>
            <w:i/>
            <w:color w:val="474747"/>
            <w:sz w:val="25"/>
            <w:szCs w:val="25"/>
          </w:rPr>
          <m:t>ю</m:t>
        </m:r>
        <m:r>
          <w:rPr xmlns:w="http://schemas.openxmlformats.org/wordprocessingml/2006/main">
            <w:rFonts w:ascii="Cambria Math" w:hAnsi="Cambria Math"/>
            <w:i/>
            <w:color w:val="474747"/>
            <w:sz w:val="25"/>
            <w:szCs w:val="25"/>
          </w:rPr>
          <m:t>]</m:t>
        </m:r>
        <m:r>
          <w:rPr xmlns:w="http://schemas.openxmlformats.org/wordprocessingml/2006/main">
            <w:rFonts w:ascii="Cambria Math" w:hAnsi="Cambria Math"/>
            <w:i/>
            <w:color w:val="474747"/>
            <w:sz w:val="25"/>
            <w:szCs w:val="25"/>
          </w:rPr>
          <m:t>]</m:t>
        </m:r>
        <m:r>
          <w:rPr xmlns:w="http://schemas.openxmlformats.org/wordprocessingml/2006/main">
            <w:rFonts w:ascii="Cambria Math" w:hAnsi="Cambria Math"/>
            <w:i/>
            <w:color w:val="474747"/>
            <w:sz w:val="25"/>
            <w:szCs w:val="25"/>
          </w:rPr>
          <m:t>]</m:t>
        </m:r>
        <m:r>
          <w:rPr xmlns:w="http://schemas.openxmlformats.org/wordprocessingml/2006/main">
            <w:rFonts w:ascii="Cambria Math" w:hAnsi="Cambria Math"/>
            <w:i/>
            <w:color w:val="1f1f1f"/>
            <w:sz w:val="25"/>
            <w:szCs w:val="25"/>
          </w:rPr>
          <m:t/>
        </m:r>
      </m:oMath>
      <w:r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  <w:br w:type="textWrapping"/>
        <w:br w:type="textWrapping"/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Из работы </w:t>
      </w:r>
      <w:r>
        <w:rPr>
          <w:rFonts w:ascii="Times New Roman" w:hAnsi="Times New Roman"/>
          <w:sz w:val="24"/>
          <w:szCs w:val="24"/>
          <w:rtl w:val="0"/>
          <w:lang w:val="de-DE"/>
        </w:rPr>
        <w:t xml:space="preserve">[Shushurin 2018]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мы можем предположить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что русские нулевые местоимения начинаются как минимальные местоимения с неозначенными</w:t>
      </w:r>
      <w:r>
        <w:rPr>
          <w:rFonts w:ascii="Times New Roman" w:hAnsi="Times New Roman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ϕ</w:t>
      </w:r>
      <w:r>
        <w:rPr>
          <w:rFonts w:ascii="Times New Roman" w:hAnsi="Times New Roman"/>
          <w:sz w:val="24"/>
          <w:szCs w:val="24"/>
          <w:rtl w:val="0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признаками и неозначенным</w:t>
      </w:r>
      <w:r>
        <w:rPr>
          <w:rFonts w:ascii="Times New Roman" w:hAnsi="Times New Roman"/>
          <w:sz w:val="24"/>
          <w:szCs w:val="24"/>
          <w:rtl w:val="0"/>
          <w:lang w:val="da-DK"/>
        </w:rPr>
        <w:t xml:space="preserve"> D-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признаком </w:t>
      </w:r>
      <w:r>
        <w:rPr>
          <w:rFonts w:ascii="Times New Roman" w:hAnsi="Times New Roman"/>
          <w:sz w:val="24"/>
          <w:szCs w:val="24"/>
          <w:rtl w:val="0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см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также 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Holmberg and Sheehan 2010),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в то время как выраженные местоимения являются референтными</w:t>
      </w:r>
      <w:r>
        <w:rPr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и их </w:t>
      </w:r>
      <w:r>
        <w:rPr>
          <w:rFonts w:ascii="Times New Roman" w:hAnsi="Times New Roman"/>
          <w:sz w:val="24"/>
          <w:szCs w:val="24"/>
          <w:rtl w:val="0"/>
          <w:lang w:val="da-DK"/>
        </w:rPr>
        <w:t>D-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признак изначально означенный</w:t>
      </w:r>
      <w:r>
        <w:rPr>
          <w:rFonts w:ascii="Times New Roman" w:hAnsi="Times New Roman"/>
          <w:sz w:val="24"/>
          <w:szCs w:val="24"/>
          <w:rtl w:val="0"/>
        </w:rPr>
        <w:t xml:space="preserve">.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Согласно экспериментальным данным эта идея подтверждается для нулевых местоимений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они семантически связаны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то есть получают значение своего 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da-DK"/>
          <w14:textFill>
            <w14:solidFill>
              <w14:srgbClr w14:val="1F1F1F"/>
            </w14:solidFill>
          </w14:textFill>
        </w:rPr>
        <w:t>D-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признака в результате согласования с вложенным 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es-ES_tradnl"/>
          <w14:textFill>
            <w14:solidFill>
              <w14:srgbClr w14:val="1F1F1F"/>
            </w14:solidFill>
          </w14:textFill>
        </w:rPr>
        <w:t xml:space="preserve">C,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который в свою очередь получает значение этого признака от проекции матричного </w:t>
      </w:r>
      <w:r>
        <w:rPr>
          <w:rFonts w:ascii="Times New Roman" w:hAnsi="Times New Roman"/>
          <w:i w:val="1"/>
          <w:iCs w:val="1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vP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 (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их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ϕ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признаки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получают свое значение от вложенного глагола через предикацию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).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При этом личные местоимения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по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видимому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различаются между референтными местоимениями в относительных предложениях и связанными местоимениями в сентенциальных аргументах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Мы предлагаем объяснять этот факт свойством логофоричности</w:t>
      </w:r>
      <w:r>
        <w:rPr>
          <w:rtl w:val="0"/>
        </w:rPr>
        <w:t>.</w:t>
      </w:r>
    </w:p>
    <w:p>
      <w:pPr>
        <w:pStyle w:val="Body"/>
        <w:spacing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Русские выраженные местоимения – логофоры</w:t>
      </w:r>
      <w:r>
        <w:rPr>
          <w:rFonts w:ascii="Times New Roman" w:hAnsi="Times New Roman"/>
          <w:b w:val="1"/>
          <w:bCs w:val="1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 Мы предполагаем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что основное различие между нулевыми местоимениями и выраженными личными местоимениями в русском языке заключается не в их 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da-DK"/>
          <w14:textFill>
            <w14:solidFill>
              <w14:srgbClr w14:val="1F1F1F"/>
            </w14:solidFill>
          </w14:textFill>
        </w:rPr>
        <w:t>D-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признаке 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(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на самом деле оба они могут рождаться с неозначенным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da-DK"/>
          <w14:textFill>
            <w14:solidFill>
              <w14:srgbClr w14:val="1F1F1F"/>
            </w14:solidFill>
          </w14:textFill>
        </w:rPr>
        <w:t xml:space="preserve"> D-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признаком и функционировать как связанные переменные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),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а в их свойствах относительно логофоричности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Выраженные местоимения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по всей видимости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являются логофорическими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Это особый класс анафорических местоимений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чьи признаки могут быть проверены исключительно предикатами пропозициональной установки 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de-DE"/>
          <w14:textFill>
            <w14:solidFill>
              <w14:srgbClr w14:val="1F1F1F"/>
            </w14:solidFill>
          </w14:textFill>
        </w:rPr>
        <w:t xml:space="preserve">[Schlenker 1999].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Синтаксически русские выраженные местоимения появляются с неозначенным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log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признаком 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(=</w:t>
      </w:r>
      <w:r>
        <w:rPr>
          <w:rFonts w:ascii="Times New Roman" w:hAnsi="Times New Roman"/>
          <w:i w:val="1"/>
          <w:iCs w:val="1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u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log),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который может быть означен только предикатом пропозициональной установки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который имеет индекс связывателя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несущий соответствующий интерпретируемый признак 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pt-PT"/>
          <w14:textFill>
            <w14:solidFill>
              <w14:srgbClr w14:val="1F1F1F"/>
            </w14:solidFill>
          </w14:textFill>
        </w:rPr>
        <w:t>(=1[</w:t>
      </w:r>
      <w:r>
        <w:rPr>
          <w:rFonts w:ascii="Times New Roman" w:hAnsi="Times New Roman"/>
          <w:i w:val="1"/>
          <w:iCs w:val="1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i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pt-PT"/>
          <w14:textFill>
            <w14:solidFill>
              <w14:srgbClr w14:val="1F1F1F"/>
            </w14:solidFill>
          </w14:textFill>
        </w:rPr>
        <w:t>log])</w:t>
      </w:r>
      <w:r>
        <w:rPr>
          <w:rtl w:val="0"/>
        </w:rPr>
        <w:t>.</w:t>
      </w:r>
      <w:r>
        <mc:AlternateContent>
          <mc:Choice Requires="wpg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1775296</wp:posOffset>
                </wp:positionH>
                <wp:positionV relativeFrom="line">
                  <wp:posOffset>222266</wp:posOffset>
                </wp:positionV>
                <wp:extent cx="904025" cy="190481"/>
                <wp:effectExtent l="0" t="0" r="0" b="0"/>
                <wp:wrapNone/>
                <wp:docPr id="1073741836" name="officeArt obje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4025" cy="190481"/>
                          <a:chOff x="0" y="0"/>
                          <a:chExt cx="904024" cy="190480"/>
                        </a:xfrm>
                      </wpg:grpSpPr>
                      <wps:wsp>
                        <wps:cNvPr id="1073741833" name="Shape 1073741833"/>
                        <wps:cNvSpPr/>
                        <wps:spPr>
                          <a:xfrm>
                            <a:off x="4538" y="5276"/>
                            <a:ext cx="897179" cy="877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  <wps:wsp>
                        <wps:cNvPr id="1073741834" name="Shape 1073741834"/>
                        <wps:cNvSpPr/>
                        <wps:spPr>
                          <a:xfrm flipH="1">
                            <a:off x="902651" y="10545"/>
                            <a:ext cx="1374" cy="179936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  <a:tailEnd type="triangle" w="med" len="med"/>
                          </a:ln>
                          <a:effectLst/>
                        </wps:spPr>
                        <wps:bodyPr/>
                      </wps:wsp>
                      <wps:wsp>
                        <wps:cNvPr id="1073741835" name="Shape 1073741835"/>
                        <wps:cNvSpPr/>
                        <wps:spPr>
                          <a:xfrm flipH="1">
                            <a:off x="0" y="0"/>
                            <a:ext cx="1" cy="158141"/>
                          </a:xfrm>
                          <a:prstGeom prst="line">
                            <a:avLst/>
                          </a:pr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34" style="visibility:visible;position:absolute;margin-left:139.8pt;margin-top:17.5pt;width:71.2pt;height:15.0pt;z-index:251661312;mso-position-horizontal:absolute;mso-position-horizontal-relative:margin;mso-position-vertical:absolute;mso-position-vertical-relative:line;mso-wrap-distance-left:0.0pt;mso-wrap-distance-top:0.0pt;mso-wrap-distance-right:0.0pt;mso-wrap-distance-bottom:0.0pt;" coordorigin="0,0" coordsize="904025,190480">
                <w10:wrap type="none" side="bothSides" anchorx="margin"/>
                <v:line id="_x0000_s1035" style="position:absolute;left:4538;top:5277;width:897178;height:8770;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line>
                <v:line id="_x0000_s1036" style="position:absolute;left:902652;top:10545;width:1373;height:179935;flip:x;">
                  <v:fill on="f"/>
                  <v:stroke filltype="solid" color="#000000" opacity="100.0%" weight="0.8pt" dashstyle="solid" endcap="flat" joinstyle="round" linestyle="single" startarrow="none" startarrowwidth="medium" startarrowlength="medium" endarrow="block" endarrowwidth="medium" endarrowlength="medium"/>
                </v:line>
                <v:line id="_x0000_s1037" style="position:absolute;left:0;top:0;width:0;height:158140;flip:x;">
                  <v:fill on="f"/>
                  <v:stroke filltype="solid" color="#000000" opacity="100.0%" weight="0.8pt" dashstyle="solid" endcap="flat" joinstyle="round" linestyle="single" startarrow="none" startarrowwidth="medium" startarrowlength="medium" endarrow="none" endarrowwidth="medium" endarrowlength="medium"/>
                </v:line>
              </v:group>
            </w:pict>
          </mc:Fallback>
        </mc:AlternateContent>
      </w:r>
    </w:p>
    <w:p>
      <w:pPr>
        <w:pStyle w:val="Body"/>
        <w:spacing w:line="240" w:lineRule="auto"/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(3)</w:t>
        <w:tab/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Только я сказал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pt-PT"/>
          <w14:textFill>
            <w14:solidFill>
              <w14:srgbClr w14:val="1F1F1F"/>
            </w14:solidFill>
          </w14:textFill>
        </w:rPr>
        <w:t>-1 [</w:t>
      </w:r>
      <w:r>
        <w:rPr>
          <w:rFonts w:ascii="Times New Roman" w:hAnsi="Times New Roman"/>
          <w:i w:val="1"/>
          <w:iCs w:val="1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i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pt-PT"/>
          <w14:textFill>
            <w14:solidFill>
              <w14:srgbClr w14:val="1F1F1F"/>
            </w14:solidFill>
          </w14:textFill>
        </w:rPr>
        <w:t xml:space="preserve">log],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что я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vertAlign w:val="subscript"/>
          <w:rtl w:val="0"/>
          <w14:textFill>
            <w14:solidFill>
              <w14:srgbClr w14:val="1F1F1F"/>
            </w14:solidFill>
          </w14:textFill>
        </w:rPr>
        <w:t>1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pt-PT"/>
          <w14:textFill>
            <w14:solidFill>
              <w14:srgbClr w14:val="1F1F1F"/>
            </w14:solidFill>
          </w14:textFill>
        </w:rPr>
        <w:t xml:space="preserve"> [</w:t>
      </w:r>
      <w:r>
        <w:rPr>
          <w:rFonts w:ascii="Times New Roman" w:hAnsi="Times New Roman"/>
          <w:i w:val="1"/>
          <w:iCs w:val="1"/>
          <w:strike w:val="1"/>
          <w:dstrike w:val="0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u</w:t>
      </w:r>
      <w:r>
        <w:rPr>
          <w:rFonts w:ascii="Times New Roman" w:hAnsi="Times New Roman"/>
          <w:strike w:val="1"/>
          <w:dstrike w:val="0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log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pt-PT"/>
          <w14:textFill>
            <w14:solidFill>
              <w14:srgbClr w14:val="1F1F1F"/>
            </w14:solidFill>
          </w14:textFill>
        </w:rPr>
        <w:t xml:space="preserve">]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гуляю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.</w:t>
      </w:r>
    </w:p>
    <w:p>
      <w:pPr>
        <w:pStyle w:val="Body"/>
        <w:spacing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Притяжательные местоимения как антецеденты</w:t>
      </w:r>
      <w:r>
        <w:rPr>
          <w:rFonts w:ascii="Times New Roman" w:hAnsi="Times New Roman"/>
          <w:b w:val="1"/>
          <w:bCs w:val="1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: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 Мы можем расширить принятый анализ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чтобы учитывать контексты с притяжательными местоимениями в качестве антецедентов личных местоимений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где семантического связывания не возникает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:</w:t>
      </w:r>
    </w:p>
    <w:p>
      <w:pPr>
        <w:pStyle w:val="Body"/>
        <w:spacing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(4)</w:t>
        <w:tab/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Только мои родители едят то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что я готовлю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.</w:t>
      </w:r>
    </w:p>
    <w:p>
      <w:pPr>
        <w:pStyle w:val="Body"/>
        <w:spacing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В таких контекстах матричный 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vP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не согласуется с притяжательным местоимением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он не может передать 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da-DK"/>
          <w14:textFill>
            <w14:solidFill>
              <w14:srgbClr w14:val="1F1F1F"/>
            </w14:solidFill>
          </w14:textFill>
        </w:rPr>
        <w:t>D-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признак через вершину С субъекту вложенной клаузы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поэтому связывание не возникает даже в контекстах с предикатами пропозициональной установки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.</w:t>
      </w:r>
    </w:p>
    <w:p>
      <w:pPr>
        <w:pStyle w:val="Body"/>
        <w:spacing w:line="240" w:lineRule="auto"/>
        <w:ind w:firstLine="708"/>
        <w:jc w:val="both"/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 w:hint="default"/>
          <w:b w:val="1"/>
          <w:bCs w:val="1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Выводы</w:t>
      </w:r>
      <w:r>
        <w:rPr>
          <w:rFonts w:ascii="Times New Roman" w:hAnsi="Times New Roman"/>
          <w:b w:val="1"/>
          <w:bCs w:val="1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: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В настоящем исследовании мы описываем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 xml:space="preserve">в каких синтаксических контекстах связанная интерпретация 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1-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го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/2-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го лица в русском языке возникает с бóльшей вероятностью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и объясняем возможные причины этого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Нулевые местоимения связаны во всех типах предложений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в то время как выраженные местоимения связаны только в сентенциальных аргументах и действуют как логофорические местоимения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начинающиеся с неозначенным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 </w:t>
      </w:r>
      <w:r>
        <w:rPr>
          <w:rFonts w:ascii="Times New Roman" w:hAnsi="Times New Roman"/>
          <w:i w:val="1"/>
          <w:iCs w:val="1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log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-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признаком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.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Притяжательные местоимения никогда не могут быть антецедентом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, 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потому что они не могут передавать свои признаки матричному предикату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.</w:t>
      </w:r>
      <w:r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  <w:br w:type="textWrapping"/>
      </w:r>
      <w:r>
        <w:rPr>
          <w:rFonts w:ascii="Times New Roman" w:hAnsi="Times New Roman" w:hint="default"/>
          <w:b w:val="1"/>
          <w:bCs w:val="1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Литература</w:t>
      </w:r>
      <w:r>
        <w:rPr>
          <w:rFonts w:ascii="Times New Roman" w:hAnsi="Times New Roman"/>
          <w:b w:val="1"/>
          <w:bCs w:val="1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: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 </w:t>
      </w:r>
    </w:p>
    <w:p>
      <w:pPr>
        <w:pStyle w:val="Body"/>
        <w:spacing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Holmberg, A. and Sheehan, M. Control into finite clauses in partial null-subject languages. // </w:t>
      </w:r>
      <w:r>
        <w:rPr>
          <w:rFonts w:ascii="Times New Roman" w:hAnsi="Times New Roman"/>
          <w:i w:val="1"/>
          <w:iCs w:val="1"/>
          <w:outline w:val="0"/>
          <w:color w:val="1f1f1f"/>
          <w:sz w:val="24"/>
          <w:szCs w:val="24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Parametric variation: Null subjects in minimalist theory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. 2010. P. 125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–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152.</w:t>
      </w:r>
    </w:p>
    <w:p>
      <w:pPr>
        <w:pStyle w:val="Body"/>
        <w:spacing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Kratzer, A. Making a pronoun: Fake indexicals as windows into the properties of pronouns. // </w:t>
      </w:r>
      <w:r>
        <w:rPr>
          <w:rFonts w:ascii="Times New Roman" w:hAnsi="Times New Roman"/>
          <w:i w:val="1"/>
          <w:iCs w:val="1"/>
          <w:outline w:val="0"/>
          <w:color w:val="1f1f1f"/>
          <w:sz w:val="24"/>
          <w:szCs w:val="24"/>
          <w:u w:color="1f1f1f"/>
          <w:rtl w:val="0"/>
          <w:lang w:val="fr-FR"/>
          <w14:textFill>
            <w14:solidFill>
              <w14:srgbClr w14:val="1F1F1F"/>
            </w14:solidFill>
          </w14:textFill>
        </w:rPr>
        <w:t>Linguistic Inquiry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. 2009. 40(2): 187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–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237. </w:t>
      </w:r>
    </w:p>
    <w:p>
      <w:pPr>
        <w:pStyle w:val="Body"/>
        <w:spacing w:line="240" w:lineRule="auto"/>
        <w:jc w:val="both"/>
        <w:rPr>
          <w:rFonts w:ascii="Times New Roman" w:cs="Times New Roman" w:hAnsi="Times New Roman" w:eastAsia="Times New Roman"/>
          <w:outline w:val="0"/>
          <w:color w:val="1f1f1f"/>
          <w:sz w:val="24"/>
          <w:szCs w:val="24"/>
          <w:u w:color="1f1f1f"/>
          <w14:textFill>
            <w14:solidFill>
              <w14:srgbClr w14:val="1F1F1F"/>
            </w14:solidFill>
          </w14:textFill>
        </w:rPr>
      </w:pP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de-DE"/>
          <w14:textFill>
            <w14:solidFill>
              <w14:srgbClr w14:val="1F1F1F"/>
            </w14:solidFill>
          </w14:textFill>
        </w:rPr>
        <w:t xml:space="preserve">Schlenker, P. </w:t>
      </w:r>
      <w:r>
        <w:rPr>
          <w:rFonts w:ascii="Times New Roman" w:hAnsi="Times New Roman"/>
          <w:i w:val="1"/>
          <w:iCs w:val="1"/>
          <w:outline w:val="0"/>
          <w:color w:val="1f1f1f"/>
          <w:sz w:val="24"/>
          <w:szCs w:val="24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Studies in Linguistics and Philosophy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. PhD thesis, MIT, Cambridge. 1999.</w:t>
      </w:r>
    </w:p>
    <w:p>
      <w:pPr>
        <w:pStyle w:val="Body"/>
        <w:spacing w:line="240" w:lineRule="auto"/>
        <w:jc w:val="both"/>
      </w:pP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 xml:space="preserve">Shushurin, P. Null pronouns in russian embedded clauses. // </w:t>
      </w:r>
      <w:r>
        <w:rPr>
          <w:rFonts w:ascii="Times New Roman" w:hAnsi="Times New Roman"/>
          <w:i w:val="1"/>
          <w:iCs w:val="1"/>
          <w:outline w:val="0"/>
          <w:color w:val="1f1f1f"/>
          <w:sz w:val="24"/>
          <w:szCs w:val="24"/>
          <w:u w:color="1f1f1f"/>
          <w:rtl w:val="0"/>
          <w:lang w:val="en-US"/>
          <w14:textFill>
            <w14:solidFill>
              <w14:srgbClr w14:val="1F1F1F"/>
            </w14:solidFill>
          </w14:textFill>
        </w:rPr>
        <w:t>Studies in Linguistics and Philosophy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>. 2018.  99: 145</w:t>
      </w:r>
      <w:r>
        <w:rPr>
          <w:rFonts w:ascii="Times New Roman" w:hAnsi="Times New Roman" w:hint="default"/>
          <w:outline w:val="0"/>
          <w:color w:val="1f1f1f"/>
          <w:sz w:val="24"/>
          <w:szCs w:val="24"/>
          <w:u w:color="1f1f1f"/>
          <w:rtl w:val="0"/>
          <w:lang w:val="ru-RU"/>
          <w14:textFill>
            <w14:solidFill>
              <w14:srgbClr w14:val="1F1F1F"/>
            </w14:solidFill>
          </w14:textFill>
        </w:rPr>
        <w:t>–</w:t>
      </w:r>
      <w:r>
        <w:rPr>
          <w:rFonts w:ascii="Times New Roman" w:hAnsi="Times New Roman"/>
          <w:outline w:val="0"/>
          <w:color w:val="1f1f1f"/>
          <w:sz w:val="24"/>
          <w:szCs w:val="24"/>
          <w:u w:color="1f1f1f"/>
          <w:rtl w:val="0"/>
          <w14:textFill>
            <w14:solidFill>
              <w14:srgbClr w14:val="1F1F1F"/>
            </w14:solidFill>
          </w14:textFill>
        </w:rPr>
        <w:t xml:space="preserve">169. </w:t>
      </w:r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1133" w:footer="1133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76" w:lineRule="auto"/>
      <w:ind w:left="0" w:right="0" w:firstLine="0"/>
      <w:jc w:val="left"/>
      <w:outlineLvl w:val="9"/>
    </w:pPr>
    <w:rPr>
      <w:rFonts w:ascii="Arial" w:cs="Arial Unicode MS" w:hAnsi="Arial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