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E69E" w14:textId="278CE815" w:rsidR="00206288" w:rsidRPr="008769DC" w:rsidRDefault="00954686" w:rsidP="0095468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876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ar-SA"/>
        </w:rPr>
        <w:t>Поведенческие маркеры понимания синтаксических конструкций у детей дошкольного возраста</w:t>
      </w:r>
      <w:r w:rsidRPr="008769DC">
        <w:rPr>
          <w:rFonts w:ascii="Times New Roman" w:hAnsi="Times New Roman" w:cs="Times New Roman"/>
          <w:b/>
          <w:bCs/>
          <w:sz w:val="24"/>
          <w:szCs w:val="22"/>
        </w:rPr>
        <w:br/>
        <w:t>Морева Дарья Дмитриевна</w:t>
      </w:r>
      <w:r w:rsidRPr="008769DC">
        <w:rPr>
          <w:rFonts w:ascii="Times New Roman" w:hAnsi="Times New Roman" w:cs="Times New Roman"/>
          <w:b/>
          <w:bCs/>
          <w:sz w:val="24"/>
          <w:szCs w:val="22"/>
        </w:rPr>
        <w:br/>
        <w:t>студент Научно-исследовательского университета «Высшая школа экономики» г. Нижний Новгород</w:t>
      </w:r>
    </w:p>
    <w:p w14:paraId="4D44ED38" w14:textId="77777777" w:rsidR="00AA4815" w:rsidRDefault="00DE4D36" w:rsidP="00AA4815">
      <w:pPr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При </w:t>
      </w:r>
      <w:r w:rsidR="002D7895" w:rsidRPr="002D7895">
        <w:rPr>
          <w:rFonts w:ascii="Times New Roman" w:hAnsi="Times New Roman" w:cs="Times New Roman"/>
          <w:sz w:val="24"/>
          <w:szCs w:val="22"/>
        </w:rPr>
        <w:t>количественном и качественном изменении методик воспитания и при взаимодействии с новыми технологиями, у ребенка меняется восприятие языка и его потенциальные языковые компетенции. Несформированность грамматического строя речи, а в частности синтаксиса, возникающая на фоне влияния современных технологий и изменения языковой среды, приводит к проблемам, связанным с обучением языка</w:t>
      </w:r>
      <w:r w:rsidR="00AA4815">
        <w:rPr>
          <w:rFonts w:ascii="Times New Roman" w:hAnsi="Times New Roman" w:cs="Times New Roman"/>
          <w:sz w:val="24"/>
          <w:szCs w:val="22"/>
        </w:rPr>
        <w:t xml:space="preserve">. </w:t>
      </w:r>
      <w:r w:rsidR="002D7895" w:rsidRPr="002D7895">
        <w:rPr>
          <w:rFonts w:ascii="Times New Roman" w:hAnsi="Times New Roman" w:cs="Times New Roman"/>
          <w:sz w:val="24"/>
          <w:szCs w:val="22"/>
        </w:rPr>
        <w:t>Именно поэтому в рамках изучения детского развития особое внимание уделяется исследованию механизмов восприятия синтаксических конструкций в русском языке, их влиянию на понимание речи в целом и на формирование языковой способности.</w:t>
      </w:r>
      <w:r w:rsidR="00AA4815" w:rsidRPr="00AA4815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7C147F60" w14:textId="12A5F95E" w:rsidR="00954686" w:rsidRPr="00AA4815" w:rsidRDefault="00AA4815" w:rsidP="00AA4815">
      <w:pPr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DE4D36">
        <w:rPr>
          <w:rFonts w:ascii="Times New Roman" w:hAnsi="Times New Roman" w:cs="Times New Roman"/>
          <w:sz w:val="24"/>
          <w:szCs w:val="22"/>
        </w:rPr>
        <w:t>Взрослея, дети осваивают наиболее сложные организации в языке, формируют на основании фонетического и семантического облика еще и грамматический, позволяющий манипулировать языковой информацией, обрабатывать и организовывать ее [Слобин, 1973</w:t>
      </w:r>
      <w:r w:rsidR="008769DC">
        <w:rPr>
          <w:rFonts w:ascii="Times New Roman" w:hAnsi="Times New Roman" w:cs="Times New Roman"/>
          <w:sz w:val="24"/>
          <w:szCs w:val="22"/>
        </w:rPr>
        <w:t xml:space="preserve">: </w:t>
      </w:r>
      <w:r w:rsidRPr="00DE4D36">
        <w:rPr>
          <w:rFonts w:ascii="Times New Roman" w:hAnsi="Times New Roman" w:cs="Times New Roman"/>
          <w:sz w:val="24"/>
          <w:szCs w:val="22"/>
        </w:rPr>
        <w:t>175 – 208]. Дэн Слобин отмечал, что понимание предложений строится на том, что они не требуют от слушающих понимания новых слов, но при этом люди созда</w:t>
      </w:r>
      <w:r>
        <w:rPr>
          <w:rFonts w:ascii="Times New Roman" w:hAnsi="Times New Roman" w:cs="Times New Roman"/>
          <w:sz w:val="24"/>
          <w:szCs w:val="22"/>
        </w:rPr>
        <w:t>ют</w:t>
      </w:r>
      <w:r w:rsidRPr="00DE4D36">
        <w:rPr>
          <w:rFonts w:ascii="Times New Roman" w:hAnsi="Times New Roman" w:cs="Times New Roman"/>
          <w:sz w:val="24"/>
          <w:szCs w:val="22"/>
        </w:rPr>
        <w:t xml:space="preserve"> и понима</w:t>
      </w:r>
      <w:r>
        <w:rPr>
          <w:rFonts w:ascii="Times New Roman" w:hAnsi="Times New Roman" w:cs="Times New Roman"/>
          <w:sz w:val="24"/>
          <w:szCs w:val="22"/>
        </w:rPr>
        <w:t>ют</w:t>
      </w:r>
      <w:r w:rsidRPr="00DE4D36">
        <w:rPr>
          <w:rFonts w:ascii="Times New Roman" w:hAnsi="Times New Roman" w:cs="Times New Roman"/>
          <w:sz w:val="24"/>
          <w:szCs w:val="22"/>
        </w:rPr>
        <w:t xml:space="preserve"> новые предложения, чтобы продолжать коммуникацию. </w:t>
      </w:r>
      <w:r w:rsidR="004451B4">
        <w:rPr>
          <w:rFonts w:ascii="Times New Roman" w:hAnsi="Times New Roman" w:cs="Times New Roman"/>
          <w:sz w:val="24"/>
          <w:szCs w:val="22"/>
        </w:rPr>
        <w:t>На</w:t>
      </w:r>
      <w:r w:rsidRPr="00DE4D36">
        <w:rPr>
          <w:rFonts w:ascii="Times New Roman" w:hAnsi="Times New Roman" w:cs="Times New Roman"/>
          <w:sz w:val="24"/>
          <w:szCs w:val="22"/>
        </w:rPr>
        <w:t xml:space="preserve"> этом основании у детей обнаруживается более сложная синтаксическая организация к четырем и пяти годам</w:t>
      </w:r>
      <w:r w:rsidR="004451B4">
        <w:rPr>
          <w:rFonts w:ascii="Times New Roman" w:hAnsi="Times New Roman" w:cs="Times New Roman"/>
          <w:sz w:val="24"/>
          <w:szCs w:val="22"/>
        </w:rPr>
        <w:t>.</w:t>
      </w:r>
    </w:p>
    <w:p w14:paraId="6391BD5F" w14:textId="75511D68" w:rsidR="002D7895" w:rsidRDefault="00AA4815" w:rsidP="002D7895">
      <w:pPr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Именно поэтому ц</w:t>
      </w:r>
      <w:r w:rsidR="002D7895" w:rsidRPr="002D7895">
        <w:rPr>
          <w:rFonts w:ascii="Times New Roman" w:hAnsi="Times New Roman" w:cs="Times New Roman"/>
          <w:sz w:val="24"/>
          <w:szCs w:val="22"/>
        </w:rPr>
        <w:t xml:space="preserve">елью работы </w:t>
      </w:r>
      <w:r>
        <w:rPr>
          <w:rFonts w:ascii="Times New Roman" w:hAnsi="Times New Roman" w:cs="Times New Roman"/>
          <w:sz w:val="24"/>
          <w:szCs w:val="22"/>
        </w:rPr>
        <w:t>стало</w:t>
      </w:r>
      <w:r w:rsidR="002D7895" w:rsidRPr="002D7895">
        <w:rPr>
          <w:rFonts w:ascii="Times New Roman" w:hAnsi="Times New Roman" w:cs="Times New Roman"/>
          <w:sz w:val="24"/>
          <w:szCs w:val="22"/>
        </w:rPr>
        <w:t xml:space="preserve"> выявление функциональных морфосинтаксических структур, понимаемых разными возрастными группами детей в зависимости от овладения языковыми компетенциями (</w:t>
      </w:r>
      <w:r w:rsidR="002D7895">
        <w:rPr>
          <w:rFonts w:ascii="Times New Roman" w:hAnsi="Times New Roman" w:cs="Times New Roman"/>
          <w:sz w:val="24"/>
          <w:szCs w:val="22"/>
        </w:rPr>
        <w:t>трех</w:t>
      </w:r>
      <w:r w:rsidR="002D7895" w:rsidRPr="002D7895">
        <w:rPr>
          <w:rFonts w:ascii="Times New Roman" w:hAnsi="Times New Roman" w:cs="Times New Roman"/>
          <w:sz w:val="24"/>
          <w:szCs w:val="22"/>
        </w:rPr>
        <w:t xml:space="preserve"> и </w:t>
      </w:r>
      <w:r w:rsidR="002D7895">
        <w:rPr>
          <w:rFonts w:ascii="Times New Roman" w:hAnsi="Times New Roman" w:cs="Times New Roman"/>
          <w:sz w:val="24"/>
          <w:szCs w:val="22"/>
        </w:rPr>
        <w:t>четырех</w:t>
      </w:r>
      <w:r w:rsidR="002D7895" w:rsidRPr="002D7895">
        <w:rPr>
          <w:rFonts w:ascii="Times New Roman" w:hAnsi="Times New Roman" w:cs="Times New Roman"/>
          <w:sz w:val="24"/>
          <w:szCs w:val="22"/>
        </w:rPr>
        <w:t xml:space="preserve"> лет соответственно).</w:t>
      </w:r>
    </w:p>
    <w:p w14:paraId="03A6D072" w14:textId="2F17C436" w:rsidR="00954CE0" w:rsidRPr="00954CE0" w:rsidRDefault="00954CE0" w:rsidP="00954CE0">
      <w:pPr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954CE0">
        <w:rPr>
          <w:rFonts w:ascii="Times New Roman" w:hAnsi="Times New Roman" w:cs="Times New Roman"/>
          <w:sz w:val="24"/>
          <w:szCs w:val="22"/>
        </w:rPr>
        <w:t xml:space="preserve">По </w:t>
      </w:r>
      <w:r w:rsidR="008769DC">
        <w:rPr>
          <w:rFonts w:ascii="Times New Roman" w:hAnsi="Times New Roman" w:cs="Times New Roman"/>
          <w:sz w:val="24"/>
          <w:szCs w:val="22"/>
        </w:rPr>
        <w:t>психолингвистической</w:t>
      </w:r>
      <w:r w:rsidRPr="00954CE0">
        <w:rPr>
          <w:rFonts w:ascii="Times New Roman" w:hAnsi="Times New Roman" w:cs="Times New Roman"/>
          <w:sz w:val="24"/>
          <w:szCs w:val="22"/>
        </w:rPr>
        <w:t xml:space="preserve"> теории </w:t>
      </w:r>
      <w:r w:rsidR="008769DC">
        <w:rPr>
          <w:rFonts w:ascii="Times New Roman" w:hAnsi="Times New Roman" w:cs="Times New Roman"/>
          <w:sz w:val="24"/>
          <w:szCs w:val="22"/>
        </w:rPr>
        <w:t xml:space="preserve">Бейтса и Маквинни </w:t>
      </w:r>
      <w:r w:rsidRPr="00954CE0">
        <w:rPr>
          <w:rFonts w:ascii="Times New Roman" w:hAnsi="Times New Roman" w:cs="Times New Roman"/>
          <w:sz w:val="24"/>
          <w:szCs w:val="22"/>
        </w:rPr>
        <w:t>есть возможность ориентироватьс</w:t>
      </w:r>
      <w:r w:rsidR="008769DC">
        <w:rPr>
          <w:rFonts w:ascii="Times New Roman" w:hAnsi="Times New Roman" w:cs="Times New Roman"/>
          <w:sz w:val="24"/>
          <w:szCs w:val="22"/>
        </w:rPr>
        <w:t>я</w:t>
      </w:r>
      <w:r w:rsidRPr="00954CE0">
        <w:rPr>
          <w:rFonts w:ascii="Times New Roman" w:hAnsi="Times New Roman" w:cs="Times New Roman"/>
          <w:sz w:val="24"/>
          <w:szCs w:val="22"/>
        </w:rPr>
        <w:t xml:space="preserve"> на те</w:t>
      </w:r>
      <w:r w:rsidR="008769DC">
        <w:rPr>
          <w:rFonts w:ascii="Times New Roman" w:hAnsi="Times New Roman" w:cs="Times New Roman"/>
          <w:sz w:val="24"/>
          <w:szCs w:val="22"/>
        </w:rPr>
        <w:t xml:space="preserve"> синтаксические конструкции</w:t>
      </w:r>
      <w:r w:rsidRPr="00954CE0">
        <w:rPr>
          <w:rFonts w:ascii="Times New Roman" w:hAnsi="Times New Roman" w:cs="Times New Roman"/>
          <w:sz w:val="24"/>
          <w:szCs w:val="22"/>
        </w:rPr>
        <w:t>, которые вызывают сложности в обработке, а облегчением обработки могут послужить семантические подсказки [</w:t>
      </w:r>
      <w:bookmarkStart w:id="0" w:name="_Hlk191916768"/>
      <w:r w:rsidR="008769DC">
        <w:rPr>
          <w:rFonts w:ascii="Times New Roman" w:hAnsi="Times New Roman" w:cs="Times New Roman"/>
          <w:sz w:val="24"/>
          <w:szCs w:val="22"/>
          <w:lang w:val="en-US"/>
        </w:rPr>
        <w:t>Bates</w:t>
      </w:r>
      <w:r w:rsidR="008769DC" w:rsidRPr="008769DC">
        <w:rPr>
          <w:rFonts w:ascii="Times New Roman" w:hAnsi="Times New Roman" w:cs="Times New Roman"/>
          <w:sz w:val="24"/>
          <w:szCs w:val="22"/>
        </w:rPr>
        <w:t xml:space="preserve"> </w:t>
      </w:r>
      <w:r w:rsidR="008769DC">
        <w:rPr>
          <w:rFonts w:ascii="Times New Roman" w:hAnsi="Times New Roman" w:cs="Times New Roman"/>
          <w:sz w:val="24"/>
          <w:szCs w:val="22"/>
          <w:lang w:val="en-US"/>
        </w:rPr>
        <w:t>E</w:t>
      </w:r>
      <w:r w:rsidR="008769DC" w:rsidRPr="008769DC">
        <w:rPr>
          <w:rFonts w:ascii="Times New Roman" w:hAnsi="Times New Roman" w:cs="Times New Roman"/>
          <w:sz w:val="24"/>
          <w:szCs w:val="22"/>
        </w:rPr>
        <w:t xml:space="preserve">., </w:t>
      </w:r>
      <w:r w:rsidR="008769DC">
        <w:rPr>
          <w:rFonts w:ascii="Times New Roman" w:hAnsi="Times New Roman" w:cs="Times New Roman"/>
          <w:sz w:val="24"/>
          <w:szCs w:val="22"/>
          <w:lang w:val="en-US"/>
        </w:rPr>
        <w:t>MacWhinney</w:t>
      </w:r>
      <w:r w:rsidR="008769DC" w:rsidRPr="008769DC">
        <w:rPr>
          <w:rFonts w:ascii="Times New Roman" w:hAnsi="Times New Roman" w:cs="Times New Roman"/>
          <w:sz w:val="24"/>
          <w:szCs w:val="22"/>
        </w:rPr>
        <w:t xml:space="preserve"> </w:t>
      </w:r>
      <w:r w:rsidR="008769DC">
        <w:rPr>
          <w:rFonts w:ascii="Times New Roman" w:hAnsi="Times New Roman" w:cs="Times New Roman"/>
          <w:sz w:val="24"/>
          <w:szCs w:val="22"/>
          <w:lang w:val="en-US"/>
        </w:rPr>
        <w:t>B</w:t>
      </w:r>
      <w:r w:rsidR="008769DC" w:rsidRPr="008769DC">
        <w:rPr>
          <w:rFonts w:ascii="Times New Roman" w:hAnsi="Times New Roman" w:cs="Times New Roman"/>
          <w:sz w:val="24"/>
          <w:szCs w:val="22"/>
        </w:rPr>
        <w:t>.</w:t>
      </w:r>
      <w:bookmarkEnd w:id="0"/>
      <w:r w:rsidR="008769DC" w:rsidRPr="008769DC">
        <w:rPr>
          <w:rFonts w:ascii="Times New Roman" w:hAnsi="Times New Roman" w:cs="Times New Roman"/>
          <w:sz w:val="24"/>
          <w:szCs w:val="22"/>
        </w:rPr>
        <w:t>, 1982: 173 - 218</w:t>
      </w:r>
      <w:r w:rsidRPr="00954CE0">
        <w:rPr>
          <w:rFonts w:ascii="Times New Roman" w:hAnsi="Times New Roman" w:cs="Times New Roman"/>
          <w:sz w:val="24"/>
          <w:szCs w:val="22"/>
        </w:rPr>
        <w:t xml:space="preserve">]. Так как данная теория считается кросслингвистической и берет основные понятия из направления «функционального синтаксиса», для анализа конкретного языка подбираются индивидуальные синтаксические и семантические маркеры для рассмотрения корреляции между ними в предложениях. </w:t>
      </w:r>
    </w:p>
    <w:p w14:paraId="2EAC32CF" w14:textId="54C9E7AB" w:rsidR="00954CE0" w:rsidRPr="008769DC" w:rsidRDefault="00954CE0" w:rsidP="00954CE0">
      <w:pPr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954CE0">
        <w:rPr>
          <w:rFonts w:ascii="Times New Roman" w:hAnsi="Times New Roman" w:cs="Times New Roman"/>
          <w:sz w:val="24"/>
          <w:szCs w:val="22"/>
        </w:rPr>
        <w:t>Эта модель была использована для изучения обработки предложений на разных языках, включая венгерский, иврит, французский, испанский, японский, чешский, корейский, итальянский, немецкий и английский. Эти исследования демонстрируют, как специфичные для языка сигналы, такие как порядок слов, морфологические и семантические маркеры, влияют на интерпретацию предложений и распределение ролей</w:t>
      </w:r>
      <w:r w:rsidR="00B82048" w:rsidRPr="00B82048">
        <w:rPr>
          <w:rFonts w:ascii="Times New Roman" w:hAnsi="Times New Roman" w:cs="Times New Roman"/>
          <w:sz w:val="24"/>
          <w:szCs w:val="22"/>
        </w:rPr>
        <w:t xml:space="preserve">. </w:t>
      </w:r>
      <w:r w:rsidR="004451B4">
        <w:rPr>
          <w:rFonts w:ascii="Times New Roman" w:hAnsi="Times New Roman" w:cs="Times New Roman"/>
          <w:sz w:val="24"/>
          <w:szCs w:val="22"/>
        </w:rPr>
        <w:t xml:space="preserve">У </w:t>
      </w:r>
      <w:r w:rsidR="00B82048" w:rsidRPr="00B82048">
        <w:rPr>
          <w:rFonts w:ascii="Times New Roman" w:hAnsi="Times New Roman" w:cs="Times New Roman"/>
          <w:sz w:val="24"/>
          <w:szCs w:val="22"/>
        </w:rPr>
        <w:t>немецкоязычных детей</w:t>
      </w:r>
      <w:r w:rsidR="004451B4">
        <w:rPr>
          <w:rFonts w:ascii="Times New Roman" w:hAnsi="Times New Roman" w:cs="Times New Roman"/>
          <w:sz w:val="24"/>
          <w:szCs w:val="22"/>
        </w:rPr>
        <w:t xml:space="preserve"> р</w:t>
      </w:r>
      <w:r w:rsidR="00B82048" w:rsidRPr="00B82048">
        <w:rPr>
          <w:rFonts w:ascii="Times New Roman" w:hAnsi="Times New Roman" w:cs="Times New Roman"/>
          <w:sz w:val="24"/>
          <w:szCs w:val="22"/>
        </w:rPr>
        <w:t xml:space="preserve">езультатом послужило то, что </w:t>
      </w:r>
      <w:r w:rsidR="004451B4">
        <w:rPr>
          <w:rFonts w:ascii="Times New Roman" w:hAnsi="Times New Roman" w:cs="Times New Roman"/>
          <w:sz w:val="24"/>
          <w:szCs w:val="22"/>
        </w:rPr>
        <w:t>ребята</w:t>
      </w:r>
      <w:r w:rsidR="00B82048" w:rsidRPr="00B82048">
        <w:rPr>
          <w:rFonts w:ascii="Times New Roman" w:hAnsi="Times New Roman" w:cs="Times New Roman"/>
          <w:sz w:val="24"/>
          <w:szCs w:val="22"/>
        </w:rPr>
        <w:t xml:space="preserve"> двухлетнего возраста показали лучшие результаты в предложениях SVO только в т</w:t>
      </w:r>
      <w:r w:rsidR="004451B4">
        <w:rPr>
          <w:rFonts w:ascii="Times New Roman" w:hAnsi="Times New Roman" w:cs="Times New Roman"/>
          <w:sz w:val="24"/>
          <w:szCs w:val="22"/>
        </w:rPr>
        <w:t>ех</w:t>
      </w:r>
      <w:r w:rsidR="00B82048" w:rsidRPr="00B82048">
        <w:rPr>
          <w:rFonts w:ascii="Times New Roman" w:hAnsi="Times New Roman" w:cs="Times New Roman"/>
          <w:sz w:val="24"/>
          <w:szCs w:val="22"/>
        </w:rPr>
        <w:t xml:space="preserve"> случа</w:t>
      </w:r>
      <w:r w:rsidR="004451B4">
        <w:rPr>
          <w:rFonts w:ascii="Times New Roman" w:hAnsi="Times New Roman" w:cs="Times New Roman"/>
          <w:sz w:val="24"/>
          <w:szCs w:val="22"/>
        </w:rPr>
        <w:t>ях</w:t>
      </w:r>
      <w:r w:rsidR="00B82048" w:rsidRPr="00B82048">
        <w:rPr>
          <w:rFonts w:ascii="Times New Roman" w:hAnsi="Times New Roman" w:cs="Times New Roman"/>
          <w:sz w:val="24"/>
          <w:szCs w:val="22"/>
        </w:rPr>
        <w:t>, если порядок слов, одушевленность и падежная маркировка, морфологическим способом выражения грамматического значения которого является артикль, были согласованы с семантической ролью каждого агента в предложении [Friederici A.D., 2019].</w:t>
      </w:r>
    </w:p>
    <w:p w14:paraId="5BEC323D" w14:textId="00F40D6A" w:rsidR="00172343" w:rsidRDefault="00B82048" w:rsidP="00172343">
      <w:pPr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На русском языке подобных исследований не было. Для того, чтобы подобрать </w:t>
      </w:r>
      <w:r w:rsidRPr="00954CE0">
        <w:rPr>
          <w:rFonts w:ascii="Times New Roman" w:hAnsi="Times New Roman" w:cs="Times New Roman"/>
          <w:sz w:val="24"/>
          <w:szCs w:val="22"/>
        </w:rPr>
        <w:t>индивидуальные синтаксические и семантические маркеры</w:t>
      </w:r>
      <w:r>
        <w:rPr>
          <w:rFonts w:ascii="Times New Roman" w:hAnsi="Times New Roman" w:cs="Times New Roman"/>
          <w:sz w:val="24"/>
          <w:szCs w:val="22"/>
        </w:rPr>
        <w:t xml:space="preserve">, </w:t>
      </w:r>
      <w:r w:rsidR="008769DC">
        <w:rPr>
          <w:rFonts w:ascii="Times New Roman" w:hAnsi="Times New Roman" w:cs="Times New Roman"/>
          <w:sz w:val="24"/>
          <w:szCs w:val="22"/>
        </w:rPr>
        <w:t>необходимо обращение</w:t>
      </w:r>
      <w:r>
        <w:rPr>
          <w:rFonts w:ascii="Times New Roman" w:hAnsi="Times New Roman" w:cs="Times New Roman"/>
          <w:sz w:val="24"/>
          <w:szCs w:val="22"/>
        </w:rPr>
        <w:t xml:space="preserve"> к </w:t>
      </w:r>
      <w:r>
        <w:rPr>
          <w:rFonts w:ascii="Times New Roman" w:hAnsi="Times New Roman" w:cs="Times New Roman"/>
          <w:sz w:val="24"/>
          <w:szCs w:val="22"/>
        </w:rPr>
        <w:lastRenderedPageBreak/>
        <w:t xml:space="preserve">устройству русской грамматики: </w:t>
      </w:r>
      <w:r w:rsidRPr="00B82048">
        <w:rPr>
          <w:rFonts w:ascii="Times New Roman" w:hAnsi="Times New Roman" w:cs="Times New Roman"/>
          <w:sz w:val="24"/>
          <w:szCs w:val="22"/>
        </w:rPr>
        <w:t>в языке свободный порядок слов, нормированным порядком отношений субъекта и объекта в научной среде считается SVO (субъект-глагол-объект) для переходных глаголов</w:t>
      </w:r>
      <w:r w:rsidR="00CC29B6">
        <w:rPr>
          <w:rFonts w:ascii="Times New Roman" w:hAnsi="Times New Roman" w:cs="Times New Roman"/>
          <w:sz w:val="24"/>
          <w:szCs w:val="22"/>
        </w:rPr>
        <w:t xml:space="preserve">. </w:t>
      </w:r>
      <w:r w:rsidRPr="00B82048">
        <w:rPr>
          <w:rFonts w:ascii="Times New Roman" w:hAnsi="Times New Roman" w:cs="Times New Roman"/>
          <w:sz w:val="24"/>
          <w:szCs w:val="22"/>
        </w:rPr>
        <w:t>Тем не менее, предложения типа объект–глагол–подлежащее (OVS) могут инициировать трудности в обработке, которые связаны не только с их неканоническим порядком слов, но и с их контекстуальными требованиями.</w:t>
      </w:r>
      <w:r w:rsidR="00172343">
        <w:rPr>
          <w:rFonts w:ascii="Times New Roman" w:hAnsi="Times New Roman" w:cs="Times New Roman"/>
          <w:sz w:val="24"/>
          <w:szCs w:val="22"/>
        </w:rPr>
        <w:t xml:space="preserve"> Семантическим показателем можем обозначить одушевленность, ведь в русском языке есть морфологические различия, которые сопровождаются концептуальным восприятием одушевленности/неодушевленности предмета, заложенным в значении слова</w:t>
      </w:r>
      <w:r w:rsidR="008769DC">
        <w:rPr>
          <w:rFonts w:ascii="Times New Roman" w:hAnsi="Times New Roman" w:cs="Times New Roman"/>
          <w:sz w:val="24"/>
          <w:szCs w:val="22"/>
        </w:rPr>
        <w:t>, и данный признак может сравниваться уже с существующими исследованиями на немецком языке с кросслингвистической точки зрения.</w:t>
      </w:r>
    </w:p>
    <w:p w14:paraId="29105E39" w14:textId="2DB34758" w:rsidR="008769DC" w:rsidRPr="008769DC" w:rsidRDefault="00172343" w:rsidP="008769DC">
      <w:pPr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172343">
        <w:rPr>
          <w:rFonts w:ascii="Times New Roman" w:hAnsi="Times New Roman" w:cs="Times New Roman"/>
          <w:sz w:val="24"/>
          <w:szCs w:val="22"/>
        </w:rPr>
        <w:t xml:space="preserve">В общей сложности </w:t>
      </w:r>
      <w:r w:rsidR="008769DC">
        <w:rPr>
          <w:rFonts w:ascii="Times New Roman" w:hAnsi="Times New Roman" w:cs="Times New Roman"/>
          <w:sz w:val="24"/>
          <w:szCs w:val="22"/>
        </w:rPr>
        <w:t>был составлен тест для детей возрастной группы 3-4 лет, чтобы после апробировать его в детских садах Нижнего Новгорода</w:t>
      </w:r>
      <w:r w:rsidRPr="00172343">
        <w:rPr>
          <w:rFonts w:ascii="Times New Roman" w:hAnsi="Times New Roman" w:cs="Times New Roman"/>
          <w:sz w:val="24"/>
          <w:szCs w:val="22"/>
        </w:rPr>
        <w:t xml:space="preserve">. Существительные и глаголы, которые использованы в материалах исследования, выбирались на основании уже имеющихся корпусов детской речи. </w:t>
      </w:r>
      <w:r w:rsidR="008769DC">
        <w:rPr>
          <w:rFonts w:ascii="Times New Roman" w:hAnsi="Times New Roman" w:cs="Times New Roman"/>
          <w:sz w:val="24"/>
          <w:szCs w:val="22"/>
        </w:rPr>
        <w:t xml:space="preserve">В </w:t>
      </w:r>
      <w:r w:rsidRPr="00172343">
        <w:rPr>
          <w:rFonts w:ascii="Times New Roman" w:hAnsi="Times New Roman" w:cs="Times New Roman"/>
          <w:sz w:val="24"/>
          <w:szCs w:val="22"/>
        </w:rPr>
        <w:t>банке лексических норм детей</w:t>
      </w:r>
      <w:r w:rsidR="008769DC">
        <w:rPr>
          <w:rFonts w:ascii="Times New Roman" w:hAnsi="Times New Roman" w:cs="Times New Roman"/>
          <w:sz w:val="24"/>
          <w:szCs w:val="22"/>
        </w:rPr>
        <w:t xml:space="preserve">, собранных работниками </w:t>
      </w:r>
      <w:r w:rsidR="008769DC" w:rsidRPr="00172343">
        <w:rPr>
          <w:rFonts w:ascii="Times New Roman" w:hAnsi="Times New Roman" w:cs="Times New Roman"/>
          <w:sz w:val="24"/>
          <w:szCs w:val="22"/>
        </w:rPr>
        <w:t>Стэнфорда,</w:t>
      </w:r>
      <w:r w:rsidRPr="00172343">
        <w:rPr>
          <w:rFonts w:ascii="Times New Roman" w:hAnsi="Times New Roman" w:cs="Times New Roman"/>
          <w:sz w:val="24"/>
          <w:szCs w:val="22"/>
        </w:rPr>
        <w:t xml:space="preserve"> рассматривалась лексика из двух источников с указанием возрастающей вероятности употребления конкретного слова в разные периоды детского развития. Слова для предложений подбирались на основании окружения ребенка и его бытовой деятельности (то есть предметы в доме, общеизвестные понятия мужского-женского пола и глаголы для описания повседневной деятельности).</w:t>
      </w:r>
      <w:r w:rsidR="008769DC">
        <w:rPr>
          <w:rFonts w:ascii="Times New Roman" w:hAnsi="Times New Roman" w:cs="Times New Roman"/>
          <w:sz w:val="24"/>
          <w:szCs w:val="22"/>
        </w:rPr>
        <w:t xml:space="preserve"> </w:t>
      </w:r>
      <w:r w:rsidR="008769DC" w:rsidRPr="008769DC">
        <w:rPr>
          <w:rFonts w:ascii="Times New Roman" w:hAnsi="Times New Roman" w:cs="Times New Roman"/>
          <w:sz w:val="24"/>
          <w:szCs w:val="22"/>
        </w:rPr>
        <w:t>Выбраны такие существительные, как «собака», «мяч», «мышка», «кошка», «обезьяна», «карандаш», «мальчик», «девочка», «дедушка», «бабушка», «тетя», «дядя», «стол», «еж», «рюкзак», «лиса»; такие глаголы, как «кормить», «надевать», «поднимать», «двигать», «рисовать», «целовать», «гладить», «нести», «</w:t>
      </w:r>
      <w:r w:rsidR="008769DC">
        <w:rPr>
          <w:rFonts w:ascii="Times New Roman" w:hAnsi="Times New Roman" w:cs="Times New Roman"/>
          <w:sz w:val="24"/>
          <w:szCs w:val="22"/>
        </w:rPr>
        <w:t>возить</w:t>
      </w:r>
      <w:r w:rsidR="008769DC" w:rsidRPr="008769DC">
        <w:rPr>
          <w:rFonts w:ascii="Times New Roman" w:hAnsi="Times New Roman" w:cs="Times New Roman"/>
          <w:sz w:val="24"/>
          <w:szCs w:val="22"/>
        </w:rPr>
        <w:t>». Все использованные глаголы были переходными, что позволило использовать существительные в качестве прямых объектов без предлогов.</w:t>
      </w:r>
    </w:p>
    <w:p w14:paraId="73FB702B" w14:textId="7ADBCFD8" w:rsidR="008769DC" w:rsidRPr="008769DC" w:rsidRDefault="008769DC" w:rsidP="008769DC">
      <w:pPr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8769DC">
        <w:rPr>
          <w:rFonts w:ascii="Times New Roman" w:hAnsi="Times New Roman" w:cs="Times New Roman"/>
          <w:sz w:val="24"/>
          <w:szCs w:val="22"/>
        </w:rPr>
        <w:t>Картинки для предложений составляла генеративная модель НейроПлод на основании уже существующих картинок из теста «КОРАБЛИК»</w:t>
      </w:r>
      <w:r>
        <w:rPr>
          <w:rFonts w:ascii="Times New Roman" w:hAnsi="Times New Roman" w:cs="Times New Roman"/>
          <w:sz w:val="24"/>
          <w:szCs w:val="22"/>
        </w:rPr>
        <w:t>. Последний являлся референтным тестом, аналогичные картинки которому по структурной и семантической значимости были созданы в рамках данного тестирования и сравнивались для выявления потенциальных различий (с учетом того, что «КОРАБЛИК» выявляет речевые компетенции у более старшего возраста).</w:t>
      </w:r>
    </w:p>
    <w:p w14:paraId="1E30644B" w14:textId="22DCD156" w:rsidR="00172343" w:rsidRPr="008769DC" w:rsidRDefault="008769DC" w:rsidP="008769DC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8769DC">
        <w:rPr>
          <w:rFonts w:ascii="Times New Roman" w:hAnsi="Times New Roman" w:cs="Times New Roman"/>
          <w:b/>
          <w:bCs/>
          <w:sz w:val="24"/>
          <w:szCs w:val="22"/>
        </w:rPr>
        <w:t>Литература</w:t>
      </w:r>
    </w:p>
    <w:p w14:paraId="2903D276" w14:textId="5E9981DE" w:rsidR="00172343" w:rsidRDefault="008769DC" w:rsidP="008769D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  <w:lang w:val="en-US"/>
        </w:rPr>
      </w:pPr>
      <w:r>
        <w:rPr>
          <w:rFonts w:ascii="Times New Roman" w:hAnsi="Times New Roman" w:cs="Times New Roman"/>
          <w:sz w:val="24"/>
          <w:szCs w:val="22"/>
          <w:lang w:val="en-US"/>
        </w:rPr>
        <w:t>Dan I. Slobin Cognitive Prerequisites for the Development of Grammar. New York, 1973</w:t>
      </w:r>
    </w:p>
    <w:p w14:paraId="2E4E2E1E" w14:textId="74049707" w:rsidR="008769DC" w:rsidRDefault="008769DC" w:rsidP="008769D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  <w:lang w:val="en-US"/>
        </w:rPr>
      </w:pPr>
      <w:r>
        <w:rPr>
          <w:rFonts w:ascii="Times New Roman" w:hAnsi="Times New Roman" w:cs="Times New Roman"/>
          <w:sz w:val="24"/>
          <w:szCs w:val="22"/>
          <w:lang w:val="en-US"/>
        </w:rPr>
        <w:t>Wanner E. Language acquisition. Cambridge, 1982</w:t>
      </w:r>
    </w:p>
    <w:p w14:paraId="25C8C2AD" w14:textId="73AD20F8" w:rsidR="008769DC" w:rsidRPr="008769DC" w:rsidRDefault="008769DC" w:rsidP="008769D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  <w:lang w:val="en-US"/>
        </w:rPr>
      </w:pPr>
      <w:r w:rsidRPr="008769DC">
        <w:rPr>
          <w:rFonts w:ascii="Times New Roman" w:hAnsi="Times New Roman" w:cs="Times New Roman"/>
          <w:sz w:val="24"/>
          <w:szCs w:val="22"/>
          <w:lang w:val="en-US"/>
        </w:rPr>
        <w:t>Feinschmidt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 A.S.</w:t>
      </w:r>
      <w:r w:rsidRPr="008769DC">
        <w:rPr>
          <w:rFonts w:ascii="Times New Roman" w:hAnsi="Times New Roman" w:cs="Times New Roman"/>
          <w:sz w:val="24"/>
          <w:szCs w:val="22"/>
          <w:lang w:val="en-US"/>
        </w:rPr>
        <w:t>,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Pr="008769DC">
        <w:rPr>
          <w:rFonts w:ascii="Times New Roman" w:hAnsi="Times New Roman" w:cs="Times New Roman"/>
          <w:sz w:val="24"/>
          <w:szCs w:val="22"/>
          <w:lang w:val="en-US"/>
        </w:rPr>
        <w:t>Christine S.S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., </w:t>
      </w:r>
      <w:r w:rsidRPr="008769DC">
        <w:rPr>
          <w:rFonts w:ascii="Times New Roman" w:hAnsi="Times New Roman" w:cs="Times New Roman"/>
          <w:sz w:val="24"/>
          <w:szCs w:val="22"/>
          <w:lang w:val="en-US"/>
        </w:rPr>
        <w:t>Thomas C.G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., </w:t>
      </w:r>
      <w:r w:rsidRPr="008769DC">
        <w:rPr>
          <w:rFonts w:ascii="Times New Roman" w:hAnsi="Times New Roman" w:cs="Times New Roman"/>
          <w:sz w:val="24"/>
          <w:szCs w:val="22"/>
          <w:lang w:val="en-US"/>
        </w:rPr>
        <w:t>Jens B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., </w:t>
      </w:r>
      <w:r w:rsidRPr="008769DC">
        <w:rPr>
          <w:rFonts w:ascii="Times New Roman" w:hAnsi="Times New Roman" w:cs="Times New Roman"/>
          <w:sz w:val="24"/>
          <w:szCs w:val="22"/>
          <w:lang w:val="en-US"/>
        </w:rPr>
        <w:t xml:space="preserve">Friederici 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A.D. </w:t>
      </w:r>
      <w:r w:rsidRPr="008769DC">
        <w:rPr>
          <w:rFonts w:ascii="Times New Roman" w:hAnsi="Times New Roman" w:cs="Times New Roman"/>
          <w:sz w:val="24"/>
          <w:szCs w:val="22"/>
          <w:lang w:val="en-US"/>
        </w:rPr>
        <w:t>Young children’s sentence comprehension: Neural correlates of syntax-semantic competition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 // </w:t>
      </w:r>
      <w:r w:rsidRPr="008769DC">
        <w:rPr>
          <w:rFonts w:ascii="Times New Roman" w:hAnsi="Times New Roman" w:cs="Times New Roman"/>
          <w:sz w:val="24"/>
          <w:szCs w:val="22"/>
          <w:lang w:val="en-US"/>
        </w:rPr>
        <w:t>Brain and Cognition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. </w:t>
      </w:r>
      <w:r w:rsidRPr="008769DC">
        <w:rPr>
          <w:rFonts w:ascii="Times New Roman" w:hAnsi="Times New Roman" w:cs="Times New Roman"/>
          <w:sz w:val="24"/>
          <w:szCs w:val="22"/>
          <w:lang w:val="en-US"/>
        </w:rPr>
        <w:t>№ 134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. C. </w:t>
      </w:r>
      <w:r w:rsidRPr="008769DC">
        <w:rPr>
          <w:rFonts w:ascii="Times New Roman" w:hAnsi="Times New Roman" w:cs="Times New Roman"/>
          <w:sz w:val="24"/>
          <w:szCs w:val="22"/>
          <w:lang w:val="en-US"/>
        </w:rPr>
        <w:t>110-121</w:t>
      </w:r>
      <w:r>
        <w:rPr>
          <w:rFonts w:ascii="Times New Roman" w:hAnsi="Times New Roman" w:cs="Times New Roman"/>
          <w:sz w:val="24"/>
          <w:szCs w:val="22"/>
          <w:lang w:val="en-US"/>
        </w:rPr>
        <w:t>.</w:t>
      </w:r>
    </w:p>
    <w:p w14:paraId="497D5AD7" w14:textId="40BA1AA8" w:rsidR="008769DC" w:rsidRDefault="008769DC" w:rsidP="008769D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  <w:lang w:val="en-US"/>
        </w:rPr>
      </w:pPr>
      <w:r w:rsidRPr="008769DC">
        <w:rPr>
          <w:rFonts w:ascii="Times New Roman" w:hAnsi="Times New Roman" w:cs="Times New Roman"/>
          <w:sz w:val="24"/>
          <w:szCs w:val="22"/>
          <w:lang w:val="en-US"/>
        </w:rPr>
        <w:t>Bates E., MacWhinney B.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 Functionalist approaches to grammar // Language acquisition. Cambrige. C. 173 – 218.</w:t>
      </w:r>
    </w:p>
    <w:p w14:paraId="375E7546" w14:textId="0D574847" w:rsidR="008769DC" w:rsidRPr="008769DC" w:rsidRDefault="008769DC" w:rsidP="008769D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  <w:lang w:val="en-US"/>
        </w:rPr>
      </w:pPr>
      <w:r w:rsidRPr="008769DC">
        <w:rPr>
          <w:rFonts w:ascii="Times New Roman" w:hAnsi="Times New Roman" w:cs="Times New Roman"/>
          <w:sz w:val="24"/>
          <w:szCs w:val="22"/>
          <w:lang w:val="en-US"/>
        </w:rPr>
        <w:t>An open database of children's vocabulary development</w:t>
      </w:r>
      <w:r w:rsidRPr="008769DC">
        <w:rPr>
          <w:rFonts w:ascii="Times New Roman" w:hAnsi="Times New Roman" w:cs="Times New Roman"/>
          <w:sz w:val="24"/>
          <w:szCs w:val="22"/>
          <w:lang w:val="en-US"/>
        </w:rPr>
        <w:t xml:space="preserve">: </w:t>
      </w:r>
      <w:hyperlink r:id="rId5" w:history="1">
        <w:r w:rsidRPr="00A9531F">
          <w:rPr>
            <w:rStyle w:val="ac"/>
            <w:rFonts w:ascii="Times New Roman" w:hAnsi="Times New Roman" w:cs="Times New Roman"/>
            <w:sz w:val="24"/>
            <w:szCs w:val="22"/>
            <w:lang w:val="en-US"/>
          </w:rPr>
          <w:t>https://wordbank.stanford.edu/</w:t>
        </w:r>
      </w:hyperlink>
    </w:p>
    <w:p w14:paraId="15B3B816" w14:textId="77777777" w:rsidR="008769DC" w:rsidRPr="008769DC" w:rsidRDefault="008769DC" w:rsidP="008769DC">
      <w:pPr>
        <w:ind w:left="709"/>
        <w:jc w:val="both"/>
        <w:rPr>
          <w:rFonts w:ascii="Times New Roman" w:hAnsi="Times New Roman" w:cs="Times New Roman"/>
          <w:sz w:val="24"/>
          <w:szCs w:val="22"/>
        </w:rPr>
      </w:pPr>
    </w:p>
    <w:sectPr w:rsidR="008769DC" w:rsidRPr="008769DC" w:rsidSect="00E62C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0F24"/>
    <w:multiLevelType w:val="hybridMultilevel"/>
    <w:tmpl w:val="27C89DEE"/>
    <w:lvl w:ilvl="0" w:tplc="0A060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743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6F"/>
    <w:rsid w:val="000A6654"/>
    <w:rsid w:val="00164DC9"/>
    <w:rsid w:val="00172343"/>
    <w:rsid w:val="00206288"/>
    <w:rsid w:val="002D7895"/>
    <w:rsid w:val="004451B4"/>
    <w:rsid w:val="00481C37"/>
    <w:rsid w:val="005403B4"/>
    <w:rsid w:val="005A3110"/>
    <w:rsid w:val="008769DC"/>
    <w:rsid w:val="00954686"/>
    <w:rsid w:val="00954CE0"/>
    <w:rsid w:val="00964A0E"/>
    <w:rsid w:val="00AA4815"/>
    <w:rsid w:val="00B82048"/>
    <w:rsid w:val="00C94AF7"/>
    <w:rsid w:val="00CC29B6"/>
    <w:rsid w:val="00CD5D6F"/>
    <w:rsid w:val="00DE4D36"/>
    <w:rsid w:val="00E62C3C"/>
    <w:rsid w:val="00EE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A802"/>
  <w15:chartTrackingRefBased/>
  <w15:docId w15:val="{C3002EE6-0272-428C-8B13-124B9966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CD5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D6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D5D6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CD5D6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CD5D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D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CD5D6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D5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CD5D6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CD5D6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D6F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D6F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CD5D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D6F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D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769D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76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75083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792506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60866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0995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13362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545240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57050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bank.stanford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727</Words>
  <Characters>5222</Characters>
  <Application>Microsoft Office Word</Application>
  <DocSecurity>0</DocSecurity>
  <Lines>88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Морева</dc:creator>
  <cp:keywords/>
  <dc:description/>
  <cp:lastModifiedBy>Дарья Морева</cp:lastModifiedBy>
  <cp:revision>15</cp:revision>
  <dcterms:created xsi:type="dcterms:W3CDTF">2025-02-26T18:37:00Z</dcterms:created>
  <dcterms:modified xsi:type="dcterms:W3CDTF">2025-03-03T15:11:00Z</dcterms:modified>
</cp:coreProperties>
</file>