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C" w14:textId="77777777" w:rsidR="00A87C82" w:rsidRPr="006A77F7" w:rsidRDefault="00000000" w:rsidP="006A77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7F7">
        <w:rPr>
          <w:rFonts w:ascii="Times New Roman" w:hAnsi="Times New Roman" w:cs="Times New Roman"/>
          <w:b/>
          <w:bCs/>
          <w:sz w:val="24"/>
          <w:szCs w:val="24"/>
        </w:rPr>
        <w:t>Средневековые мотивы в русском символизме на примере творчества А. А. Блока</w:t>
      </w:r>
    </w:p>
    <w:p w14:paraId="6C1B8886" w14:textId="77777777" w:rsidR="006A77F7" w:rsidRDefault="00000000" w:rsidP="006A77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7F7">
        <w:rPr>
          <w:rFonts w:ascii="Times New Roman" w:hAnsi="Times New Roman" w:cs="Times New Roman"/>
          <w:sz w:val="24"/>
          <w:szCs w:val="24"/>
        </w:rPr>
        <w:t>Просвирнина Олеся Николаевна</w:t>
      </w:r>
    </w:p>
    <w:p w14:paraId="434BCBAC" w14:textId="77777777" w:rsidR="006A77F7" w:rsidRDefault="00000000" w:rsidP="006A77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7F7">
        <w:rPr>
          <w:rFonts w:ascii="Times New Roman" w:hAnsi="Times New Roman" w:cs="Times New Roman"/>
          <w:sz w:val="24"/>
          <w:szCs w:val="24"/>
        </w:rPr>
        <w:t>Студентка Московского политехнического института, факультет издательского дела и журналистики, Москва, Россия</w:t>
      </w:r>
    </w:p>
    <w:p w14:paraId="726B5A08" w14:textId="77777777" w:rsidR="006A77F7" w:rsidRDefault="006A77F7" w:rsidP="006A7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68E12" w14:textId="77777777" w:rsidR="006A77F7" w:rsidRDefault="00000000" w:rsidP="006A77F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7F7">
        <w:rPr>
          <w:rFonts w:ascii="Times New Roman" w:hAnsi="Times New Roman" w:cs="Times New Roman"/>
          <w:sz w:val="24"/>
          <w:szCs w:val="24"/>
        </w:rPr>
        <w:t>В начале XX века символизм как новое направление в искусстве оказал значительное влияние на развитие русской литературы. Символисты стремились выразить непостижимый мир и отойти от возвышения своего «я». Они искали новые формы самовыражения и новые темы для творчества. Одной из таких тем стали средневековые мотивы, которые нашли отражение в произведениях многих символистов, в том числе и в творчестве А. А. Блока.</w:t>
      </w:r>
    </w:p>
    <w:p w14:paraId="3BF8F175" w14:textId="06F77D17" w:rsidR="006A77F7" w:rsidRDefault="00000000" w:rsidP="006A77F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7F7">
        <w:rPr>
          <w:rFonts w:ascii="Times New Roman" w:hAnsi="Times New Roman" w:cs="Times New Roman"/>
          <w:sz w:val="24"/>
          <w:szCs w:val="24"/>
        </w:rPr>
        <w:t>Символизм как литературное направление зародился в России в первой половине 1890-х годов. Его появление связано с публикацией трёх выпусков сборника «Русские символисты», большую часть стихов в которых написал Валерий Брюсов, а также с лекцией Д. С. Мережковского и выходом сборника его стихов «Символы»</w:t>
      </w:r>
      <w:r w:rsidR="005D3BDF" w:rsidRPr="005D3BDF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5D3BDF">
        <w:rPr>
          <w:rFonts w:ascii="Times New Roman" w:hAnsi="Times New Roman" w:cs="Times New Roman"/>
          <w:sz w:val="24"/>
          <w:szCs w:val="24"/>
          <w:lang w:val="ru-RU"/>
        </w:rPr>
        <w:t>Мережковский 2015</w:t>
      </w:r>
      <w:r w:rsidR="005D3BDF" w:rsidRPr="005D3BDF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6A77F7">
        <w:rPr>
          <w:rFonts w:ascii="Times New Roman" w:hAnsi="Times New Roman" w:cs="Times New Roman"/>
          <w:sz w:val="24"/>
          <w:szCs w:val="24"/>
        </w:rPr>
        <w:t>. По словам литературоведа Игоря Сухих, Мережковский видел XIX век как борьбу научного познания и религиозного чувства.</w:t>
      </w:r>
      <w:r w:rsidR="008607F0">
        <w:rPr>
          <w:rFonts w:ascii="Times New Roman" w:hAnsi="Times New Roman" w:cs="Times New Roman"/>
          <w:sz w:val="24"/>
          <w:szCs w:val="24"/>
          <w:lang w:val="ru-RU"/>
        </w:rPr>
        <w:t xml:space="preserve"> По его мнению</w:t>
      </w:r>
      <w:r w:rsidRPr="006A77F7">
        <w:rPr>
          <w:rFonts w:ascii="Times New Roman" w:hAnsi="Times New Roman" w:cs="Times New Roman"/>
          <w:sz w:val="24"/>
          <w:szCs w:val="24"/>
        </w:rPr>
        <w:t xml:space="preserve">, это время крайнего материализма и страстных духовных порывов, столкновение религиозного чувства с выводами науки. Этот же принцип наблюдается в творчестве А. Блока: в его произведениях прослеживается контрастность, </w:t>
      </w:r>
      <w:proofErr w:type="spellStart"/>
      <w:r w:rsidRPr="006A77F7">
        <w:rPr>
          <w:rFonts w:ascii="Times New Roman" w:hAnsi="Times New Roman" w:cs="Times New Roman"/>
          <w:sz w:val="24"/>
          <w:szCs w:val="24"/>
        </w:rPr>
        <w:t>двоемирие</w:t>
      </w:r>
      <w:proofErr w:type="spellEnd"/>
      <w:r w:rsidRPr="006A77F7">
        <w:rPr>
          <w:rFonts w:ascii="Times New Roman" w:hAnsi="Times New Roman" w:cs="Times New Roman"/>
          <w:sz w:val="24"/>
          <w:szCs w:val="24"/>
        </w:rPr>
        <w:t>, присущее романтизму. Так, в стихотворении «Незнакомка» присутствует отчетливая антитеза: загробный мир и мир реальный, грязный город и чистота души</w:t>
      </w:r>
      <w:r w:rsidR="008607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07F0" w:rsidRPr="008607F0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8607F0">
        <w:rPr>
          <w:rFonts w:ascii="Times New Roman" w:hAnsi="Times New Roman" w:cs="Times New Roman"/>
          <w:sz w:val="24"/>
          <w:szCs w:val="24"/>
          <w:lang w:val="ru-RU"/>
        </w:rPr>
        <w:t>Сухих 201</w:t>
      </w:r>
      <w:r w:rsidR="005D3BDF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8607F0" w:rsidRPr="008607F0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6A77F7">
        <w:rPr>
          <w:rFonts w:ascii="Times New Roman" w:hAnsi="Times New Roman" w:cs="Times New Roman"/>
          <w:sz w:val="24"/>
          <w:szCs w:val="24"/>
        </w:rPr>
        <w:t>.</w:t>
      </w:r>
    </w:p>
    <w:p w14:paraId="5D611926" w14:textId="6703BEF7" w:rsidR="006A77F7" w:rsidRDefault="00000000" w:rsidP="006A77F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7F7">
        <w:rPr>
          <w:rFonts w:ascii="Times New Roman" w:hAnsi="Times New Roman" w:cs="Times New Roman"/>
          <w:sz w:val="24"/>
          <w:szCs w:val="24"/>
        </w:rPr>
        <w:t xml:space="preserve">В европейской литературе XIX века искусство было замкнутым, но под влиянием восточной мистики и интереса к Средним векам возникло новое направление. Символисты, настаивая на новизне эстетики, всё же продолжили традиции романтизма, который своими корнями уходит в эпоху Средневековья. </w:t>
      </w:r>
    </w:p>
    <w:p w14:paraId="60520F4A" w14:textId="73B19BA3" w:rsidR="006A77F7" w:rsidRPr="006A77F7" w:rsidRDefault="00000000" w:rsidP="006A77F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A77F7">
        <w:rPr>
          <w:rFonts w:ascii="Times New Roman" w:hAnsi="Times New Roman" w:cs="Times New Roman"/>
          <w:sz w:val="24"/>
          <w:szCs w:val="24"/>
        </w:rPr>
        <w:t>Жирмунский</w:t>
      </w:r>
      <w:proofErr w:type="spellEnd"/>
      <w:r w:rsidR="006A77F7">
        <w:rPr>
          <w:rFonts w:ascii="Times New Roman" w:hAnsi="Times New Roman" w:cs="Times New Roman"/>
          <w:sz w:val="24"/>
          <w:szCs w:val="24"/>
          <w:lang w:val="ru-RU"/>
        </w:rPr>
        <w:t xml:space="preserve"> отмечает, что </w:t>
      </w:r>
      <w:r w:rsidRPr="006A77F7">
        <w:rPr>
          <w:rFonts w:ascii="Times New Roman" w:hAnsi="Times New Roman" w:cs="Times New Roman"/>
          <w:sz w:val="24"/>
          <w:szCs w:val="24"/>
        </w:rPr>
        <w:t>в «Стихах о Прекрасной Даме» образ поэта как рыцаря, молитвенно склоненного перед Божественной Невестой, с самого начала задуман как поэтическое иносказание и целое стихотворение, уже в основном замысле, имеет символический смысл</w:t>
      </w:r>
      <w:r w:rsidR="006A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77F7" w:rsidRPr="006A77F7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spellStart"/>
      <w:r w:rsidR="006A77F7">
        <w:rPr>
          <w:rFonts w:ascii="Times New Roman" w:hAnsi="Times New Roman" w:cs="Times New Roman"/>
          <w:sz w:val="24"/>
          <w:szCs w:val="24"/>
          <w:lang w:val="ru-RU"/>
        </w:rPr>
        <w:t>Жирмунский</w:t>
      </w:r>
      <w:proofErr w:type="spellEnd"/>
      <w:r w:rsidR="006A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200B">
        <w:rPr>
          <w:rFonts w:ascii="Times New Roman" w:hAnsi="Times New Roman" w:cs="Times New Roman"/>
          <w:sz w:val="24"/>
          <w:szCs w:val="24"/>
          <w:lang w:val="ru-RU"/>
        </w:rPr>
        <w:t>1922</w:t>
      </w:r>
      <w:r w:rsidR="006A77F7" w:rsidRPr="006A77F7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4F20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00001B" w14:textId="02E22224" w:rsidR="00A87C82" w:rsidRPr="004F200B" w:rsidRDefault="00063A01" w:rsidP="006A77F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Тынянов заключает, что с</w:t>
      </w:r>
      <w:r w:rsidR="00000000" w:rsidRPr="006A77F7">
        <w:rPr>
          <w:rFonts w:ascii="Times New Roman" w:hAnsi="Times New Roman" w:cs="Times New Roman"/>
          <w:sz w:val="24"/>
          <w:szCs w:val="24"/>
        </w:rPr>
        <w:t xml:space="preserve">тихотворения Блока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="00000000" w:rsidRPr="006A77F7">
        <w:rPr>
          <w:rFonts w:ascii="Times New Roman" w:hAnsi="Times New Roman" w:cs="Times New Roman"/>
          <w:sz w:val="24"/>
          <w:szCs w:val="24"/>
        </w:rPr>
        <w:t xml:space="preserve">собраны в циклы, то рассыпаны: Офелия и Гамлет, Царевна и Рыцарь, Рыцарь и Дама, Кармен, Князь и Девушка, Мать и Сын </w:t>
      </w:r>
      <w:r w:rsidR="004F200B" w:rsidRPr="004F200B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000000" w:rsidRPr="006A77F7">
        <w:rPr>
          <w:rFonts w:ascii="Times New Roman" w:hAnsi="Times New Roman" w:cs="Times New Roman"/>
          <w:sz w:val="24"/>
          <w:szCs w:val="24"/>
        </w:rPr>
        <w:t>Тынянов</w:t>
      </w:r>
      <w:r w:rsidR="004F200B" w:rsidRPr="004F200B">
        <w:rPr>
          <w:rFonts w:ascii="Times New Roman" w:hAnsi="Times New Roman" w:cs="Times New Roman"/>
          <w:sz w:val="24"/>
          <w:szCs w:val="24"/>
          <w:lang w:val="ru-RU"/>
        </w:rPr>
        <w:t xml:space="preserve"> 19</w:t>
      </w:r>
      <w:r w:rsidR="004F200B">
        <w:rPr>
          <w:rFonts w:ascii="Times New Roman" w:hAnsi="Times New Roman" w:cs="Times New Roman"/>
          <w:sz w:val="24"/>
          <w:szCs w:val="24"/>
          <w:lang w:val="ru-RU"/>
        </w:rPr>
        <w:t>77</w:t>
      </w:r>
      <w:r w:rsidR="004F200B" w:rsidRPr="004F200B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0000001D" w14:textId="1DACA882" w:rsidR="00A87C82" w:rsidRPr="004F200B" w:rsidRDefault="004F200B" w:rsidP="004F20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В.М.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Жирмунский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указывает на последовательность развития приемов метафорического стиля в лирике А.А. Блока. По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заключениею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исследователя, поэт-романтик «</w:t>
      </w:r>
      <w:r w:rsidR="00000000" w:rsidRPr="006A77F7">
        <w:rPr>
          <w:rFonts w:ascii="Times New Roman" w:hAnsi="Times New Roman" w:cs="Times New Roman"/>
          <w:sz w:val="24"/>
          <w:szCs w:val="24"/>
        </w:rPr>
        <w:t>вступает на путь логического противоречия, диссонанса как художественного приема, мотивированного иррациональностью общего замысла поэта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F200B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Жирмунский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1922</w:t>
      </w:r>
      <w:r w:rsidRPr="004F200B"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B10C6C" w14:textId="4F1B3A08" w:rsidR="006A77F7" w:rsidRDefault="00000000" w:rsidP="006A77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7F7">
        <w:rPr>
          <w:rFonts w:ascii="Times New Roman" w:hAnsi="Times New Roman" w:cs="Times New Roman"/>
          <w:sz w:val="24"/>
          <w:szCs w:val="24"/>
        </w:rPr>
        <w:t>На рубеже XIX–XX веков, в эпоху мышления иного мира, символисты смогли раскрыть новые смыслы средневековой поэзии. А. А. Блок, утверждая божественное достоинство личности, продолжил традиции провансальцев и миннезингеров, которые впервые воспели идеальную рыцарскую любовь к земной женщине</w:t>
      </w:r>
      <w:r w:rsidR="005D3B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3BDF" w:rsidRPr="005D3BDF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5D3BDF">
        <w:rPr>
          <w:rFonts w:ascii="Times New Roman" w:hAnsi="Times New Roman" w:cs="Times New Roman"/>
          <w:sz w:val="24"/>
          <w:szCs w:val="24"/>
          <w:lang w:val="ru-RU"/>
        </w:rPr>
        <w:t>Иванова 2008</w:t>
      </w:r>
      <w:r w:rsidR="005D3BDF" w:rsidRPr="005D3BDF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6A77F7">
        <w:rPr>
          <w:rFonts w:ascii="Times New Roman" w:hAnsi="Times New Roman" w:cs="Times New Roman"/>
          <w:sz w:val="24"/>
          <w:szCs w:val="24"/>
        </w:rPr>
        <w:t>.</w:t>
      </w:r>
    </w:p>
    <w:p w14:paraId="01690948" w14:textId="0910BE85" w:rsidR="006A77F7" w:rsidRDefault="00000000" w:rsidP="006A77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7F7">
        <w:rPr>
          <w:rFonts w:ascii="Times New Roman" w:hAnsi="Times New Roman" w:cs="Times New Roman"/>
          <w:sz w:val="24"/>
          <w:szCs w:val="24"/>
        </w:rPr>
        <w:t>Концепция искусства как символизации зародилась в античной эстетике. Платон, опираясь на теорию подражания, утверждал, что произведения искусства не просто воспроизводят видимый мир, но восходят к более глубоким смыслам, лежащим в основе самой природы</w:t>
      </w:r>
      <w:r w:rsidR="00DC0B75" w:rsidRPr="00DC0B75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DC0B75">
        <w:rPr>
          <w:rFonts w:ascii="Times New Roman" w:hAnsi="Times New Roman" w:cs="Times New Roman"/>
          <w:sz w:val="24"/>
          <w:szCs w:val="24"/>
          <w:lang w:val="ru-RU"/>
        </w:rPr>
        <w:t>Платон 1993</w:t>
      </w:r>
      <w:r w:rsidR="00DC0B75" w:rsidRPr="00DC0B75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6A77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A1C712" w14:textId="77777777" w:rsidR="004F200B" w:rsidRDefault="00000000" w:rsidP="004F20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7F7">
        <w:rPr>
          <w:rFonts w:ascii="Times New Roman" w:hAnsi="Times New Roman" w:cs="Times New Roman"/>
          <w:sz w:val="24"/>
          <w:szCs w:val="24"/>
        </w:rPr>
        <w:t>Эти идеи неоплатоников оказали значительное влияние на христианского автора V века Дионисия Ареопагита. Он рассматривал всё видимое как символ невидимой, сокровенной и неопределимой сущности Бога.</w:t>
      </w:r>
    </w:p>
    <w:p w14:paraId="1B6602FF" w14:textId="362B281D" w:rsidR="006A77F7" w:rsidRDefault="00000000" w:rsidP="004F20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7F7">
        <w:rPr>
          <w:rFonts w:ascii="Times New Roman" w:hAnsi="Times New Roman" w:cs="Times New Roman"/>
          <w:sz w:val="24"/>
          <w:szCs w:val="24"/>
        </w:rPr>
        <w:t xml:space="preserve">Гёте придавал большое значение символам, связывая их с жизненной органичностью и выраженными через них началами. Другой немецкий романтик, А. Шлегель, понимал поэтическое творчество как «вечное </w:t>
      </w:r>
      <w:r w:rsidR="008607F0" w:rsidRPr="006A77F7">
        <w:rPr>
          <w:rFonts w:ascii="Times New Roman" w:hAnsi="Times New Roman" w:cs="Times New Roman"/>
          <w:sz w:val="24"/>
          <w:szCs w:val="24"/>
        </w:rPr>
        <w:t>символизирован</w:t>
      </w:r>
      <w:r w:rsidR="008607F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607F0" w:rsidRPr="006A77F7">
        <w:rPr>
          <w:rFonts w:ascii="Times New Roman" w:hAnsi="Times New Roman" w:cs="Times New Roman"/>
          <w:sz w:val="24"/>
          <w:szCs w:val="24"/>
        </w:rPr>
        <w:t>е</w:t>
      </w:r>
      <w:r w:rsidRPr="006A77F7">
        <w:rPr>
          <w:rFonts w:ascii="Times New Roman" w:hAnsi="Times New Roman" w:cs="Times New Roman"/>
          <w:sz w:val="24"/>
          <w:szCs w:val="24"/>
        </w:rPr>
        <w:t xml:space="preserve">». Из этого </w:t>
      </w:r>
      <w:r w:rsidRPr="006A77F7">
        <w:rPr>
          <w:rFonts w:ascii="Times New Roman" w:hAnsi="Times New Roman" w:cs="Times New Roman"/>
          <w:sz w:val="24"/>
          <w:szCs w:val="24"/>
        </w:rPr>
        <w:lastRenderedPageBreak/>
        <w:t>можно сделать вывод: в немецком и русском романтизме символ прежде всего выражал мистическую потусторонность.</w:t>
      </w:r>
    </w:p>
    <w:p w14:paraId="03FFC050" w14:textId="39732616" w:rsidR="006A77F7" w:rsidRDefault="00000000" w:rsidP="006A77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7F7">
        <w:rPr>
          <w:rFonts w:ascii="Times New Roman" w:hAnsi="Times New Roman" w:cs="Times New Roman"/>
          <w:sz w:val="24"/>
          <w:szCs w:val="24"/>
        </w:rPr>
        <w:t xml:space="preserve">В «Стихах о Прекрасной Даме» можно выделить три уровня упоминаемости, на которых прослеживается связь с ценностями духовного и светского рыцарства XI–XIII веков. На первом уровне появляются символы Розы и Креста, Храма, Меча, Лилии. Герой обретает черты «рыцаря-монаха». На втором уровне образ далёкой возлюбленной становится зримым воплощением Вечной Женственности, а храмы Петербурга — репрезентацией некого надмирного, трансцендентного. На третьем уровне особое внимание уделяется образу Храма, который становится символом далёкой цели. </w:t>
      </w:r>
    </w:p>
    <w:p w14:paraId="212B6910" w14:textId="37D22872" w:rsidR="006A77F7" w:rsidRPr="008607F0" w:rsidRDefault="004F200B" w:rsidP="006A77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Невозможно не согласиться с заключением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Жирмунского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 том, что </w:t>
      </w:r>
      <w:r w:rsidR="00000000" w:rsidRPr="006A77F7">
        <w:rPr>
          <w:rFonts w:ascii="Times New Roman" w:hAnsi="Times New Roman" w:cs="Times New Roman"/>
          <w:sz w:val="24"/>
          <w:szCs w:val="24"/>
        </w:rPr>
        <w:t>Блок — поэт метафоры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00B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Жирмунский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1922</w:t>
      </w:r>
      <w:r w:rsidRPr="004F200B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000000" w:rsidRPr="006A77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2E0FCB" w14:textId="77777777" w:rsidR="005D3BDF" w:rsidRDefault="00000000" w:rsidP="005D3BD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7F7">
        <w:rPr>
          <w:rFonts w:ascii="Times New Roman" w:hAnsi="Times New Roman" w:cs="Times New Roman"/>
          <w:sz w:val="24"/>
          <w:szCs w:val="24"/>
        </w:rPr>
        <w:t>Таким образом, средневековые мотивы в творчестве А. А. Блока отражают его интерес к мистике, романтизму и рыцарской культуре. Они позволяют ему выразить новые смыслы и идеи, а также воссоздать уникальный образ Прекрасной Дамы. Средневековые мотивы становятся важным художественным средством в литературе начала XX века и находят отражение в творчестве русских символистов.</w:t>
      </w:r>
    </w:p>
    <w:p w14:paraId="320219E0" w14:textId="77777777" w:rsidR="005D3BDF" w:rsidRDefault="005D3BDF" w:rsidP="005D3BD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00036" w14:textId="1C20D117" w:rsidR="00A87C82" w:rsidRPr="005D3BDF" w:rsidRDefault="006A77F7" w:rsidP="005D3BD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</w:p>
    <w:p w14:paraId="6F2EDE96" w14:textId="77777777" w:rsidR="005D3BDF" w:rsidRDefault="005D3BDF" w:rsidP="00063A01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3A01">
        <w:rPr>
          <w:rFonts w:ascii="Times New Roman" w:hAnsi="Times New Roman" w:cs="Times New Roman"/>
          <w:sz w:val="24"/>
          <w:szCs w:val="24"/>
        </w:rPr>
        <w:t>Блок А. А. Стихи о прекрасной даме. Иллюстрированное</w:t>
      </w:r>
      <w:r w:rsidRPr="00063A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3A01">
        <w:rPr>
          <w:rFonts w:ascii="Times New Roman" w:hAnsi="Times New Roman" w:cs="Times New Roman"/>
          <w:sz w:val="24"/>
          <w:szCs w:val="24"/>
        </w:rPr>
        <w:t>издание</w:t>
      </w:r>
      <w:r w:rsidRPr="00063A01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spellStart"/>
      <w:r w:rsidRPr="00063A01">
        <w:rPr>
          <w:rFonts w:ascii="Times New Roman" w:hAnsi="Times New Roman" w:cs="Times New Roman"/>
          <w:sz w:val="24"/>
          <w:szCs w:val="24"/>
          <w:lang w:val="en-US"/>
        </w:rPr>
        <w:t>Strelbytskyy</w:t>
      </w:r>
      <w:proofErr w:type="spellEnd"/>
      <w:r w:rsidRPr="00063A01">
        <w:rPr>
          <w:rFonts w:ascii="Times New Roman" w:hAnsi="Times New Roman" w:cs="Times New Roman"/>
          <w:sz w:val="24"/>
          <w:szCs w:val="24"/>
          <w:lang w:val="en-US"/>
        </w:rPr>
        <w:t xml:space="preserve"> Multimedia Publishing, 2018.</w:t>
      </w:r>
    </w:p>
    <w:p w14:paraId="741E1753" w14:textId="77777777" w:rsidR="005D3BDF" w:rsidRPr="005D3BDF" w:rsidRDefault="005D3BDF" w:rsidP="00063A01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63A01">
        <w:rPr>
          <w:rFonts w:ascii="Times New Roman" w:hAnsi="Times New Roman" w:cs="Times New Roman"/>
          <w:sz w:val="24"/>
          <w:szCs w:val="24"/>
        </w:rPr>
        <w:t>Жирмунский</w:t>
      </w:r>
      <w:proofErr w:type="spellEnd"/>
      <w:r w:rsidRPr="00063A01">
        <w:rPr>
          <w:rFonts w:ascii="Times New Roman" w:hAnsi="Times New Roman" w:cs="Times New Roman"/>
          <w:sz w:val="24"/>
          <w:szCs w:val="24"/>
        </w:rPr>
        <w:t xml:space="preserve"> В. М. Поэзия Александра Блока. – Картонный домик, 1922. – Т. 64.</w:t>
      </w:r>
    </w:p>
    <w:p w14:paraId="4171CE80" w14:textId="77777777" w:rsidR="005D3BDF" w:rsidRPr="00063A01" w:rsidRDefault="005D3BDF" w:rsidP="00063A01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Иванова Т.Ф. Традиции европейской средневековой поэзии в цикле А.А. Блока «Стихи о прекрасной даме» // Вестник Московского университета. Серия 9: Филология. – 2008. – С. 95-102.</w:t>
      </w:r>
    </w:p>
    <w:p w14:paraId="460BEE60" w14:textId="77777777" w:rsidR="005D3BDF" w:rsidRPr="00063A01" w:rsidRDefault="005D3BDF" w:rsidP="00063A01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3A01">
        <w:rPr>
          <w:rFonts w:ascii="Times New Roman" w:hAnsi="Times New Roman" w:cs="Times New Roman"/>
          <w:sz w:val="24"/>
          <w:szCs w:val="24"/>
        </w:rPr>
        <w:t xml:space="preserve">Мережковский Д. С. Символы. Песни и поэмы. – </w:t>
      </w:r>
      <w:proofErr w:type="spellStart"/>
      <w:r w:rsidRPr="00063A01">
        <w:rPr>
          <w:rFonts w:ascii="Times New Roman" w:hAnsi="Times New Roman" w:cs="Times New Roman"/>
          <w:sz w:val="24"/>
          <w:szCs w:val="24"/>
        </w:rPr>
        <w:t>Directmedia</w:t>
      </w:r>
      <w:proofErr w:type="spellEnd"/>
      <w:r w:rsidRPr="00063A01">
        <w:rPr>
          <w:rFonts w:ascii="Times New Roman" w:hAnsi="Times New Roman" w:cs="Times New Roman"/>
          <w:sz w:val="24"/>
          <w:szCs w:val="24"/>
        </w:rPr>
        <w:t>, 2015.</w:t>
      </w:r>
    </w:p>
    <w:p w14:paraId="52C4A59A" w14:textId="77777777" w:rsidR="005D3BDF" w:rsidRPr="00063A01" w:rsidRDefault="005D3BDF" w:rsidP="00063A01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3A01">
        <w:rPr>
          <w:rFonts w:ascii="Times New Roman" w:hAnsi="Times New Roman" w:cs="Times New Roman"/>
          <w:sz w:val="24"/>
          <w:szCs w:val="24"/>
        </w:rPr>
        <w:t xml:space="preserve">Платон. Собр. Соч. в 4-х т. Т. 2. /Общ. ред. А.Ф. Лосева, В.Ф. Асмуса, А.А. </w:t>
      </w:r>
      <w:proofErr w:type="spellStart"/>
      <w:r w:rsidRPr="00063A01">
        <w:rPr>
          <w:rFonts w:ascii="Times New Roman" w:hAnsi="Times New Roman" w:cs="Times New Roman"/>
          <w:sz w:val="24"/>
          <w:szCs w:val="24"/>
        </w:rPr>
        <w:t>ТахоГоди</w:t>
      </w:r>
      <w:proofErr w:type="spellEnd"/>
      <w:r w:rsidRPr="00063A01">
        <w:rPr>
          <w:rFonts w:ascii="Times New Roman" w:hAnsi="Times New Roman" w:cs="Times New Roman"/>
          <w:sz w:val="24"/>
          <w:szCs w:val="24"/>
        </w:rPr>
        <w:t xml:space="preserve">; Пер. с </w:t>
      </w:r>
      <w:proofErr w:type="spellStart"/>
      <w:r w:rsidRPr="00063A01">
        <w:rPr>
          <w:rFonts w:ascii="Times New Roman" w:hAnsi="Times New Roman" w:cs="Times New Roman"/>
          <w:sz w:val="24"/>
          <w:szCs w:val="24"/>
        </w:rPr>
        <w:t>древнегреч</w:t>
      </w:r>
      <w:proofErr w:type="spellEnd"/>
      <w:r w:rsidRPr="00063A01">
        <w:rPr>
          <w:rFonts w:ascii="Times New Roman" w:hAnsi="Times New Roman" w:cs="Times New Roman"/>
          <w:sz w:val="24"/>
          <w:szCs w:val="24"/>
        </w:rPr>
        <w:t>. – М.: Мысль, 1993.</w:t>
      </w:r>
    </w:p>
    <w:p w14:paraId="5D11DEC8" w14:textId="77777777" w:rsidR="005D3BDF" w:rsidRPr="00063A01" w:rsidRDefault="005D3BDF" w:rsidP="00063A01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3A01">
        <w:rPr>
          <w:rFonts w:ascii="Times New Roman" w:hAnsi="Times New Roman" w:cs="Times New Roman"/>
          <w:sz w:val="24"/>
          <w:szCs w:val="24"/>
        </w:rPr>
        <w:t xml:space="preserve">Сухих И. Н. Русская литература для всех. Классное чтение! От Блока до Бродского. – </w:t>
      </w:r>
      <w:proofErr w:type="spellStart"/>
      <w:r w:rsidRPr="00063A01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063A01">
        <w:rPr>
          <w:rFonts w:ascii="Times New Roman" w:hAnsi="Times New Roman" w:cs="Times New Roman"/>
          <w:sz w:val="24"/>
          <w:szCs w:val="24"/>
        </w:rPr>
        <w:t>, 2014. – Т. 3.</w:t>
      </w:r>
    </w:p>
    <w:p w14:paraId="119C96B2" w14:textId="77777777" w:rsidR="005D3BDF" w:rsidRPr="00063A01" w:rsidRDefault="005D3BDF" w:rsidP="00063A01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3A01">
        <w:rPr>
          <w:rFonts w:ascii="Times New Roman" w:hAnsi="Times New Roman" w:cs="Times New Roman"/>
          <w:sz w:val="24"/>
          <w:szCs w:val="24"/>
        </w:rPr>
        <w:t xml:space="preserve">Тынянов Ю. Н. Блок //Поэтика. История литературы. </w:t>
      </w:r>
      <w:proofErr w:type="gramStart"/>
      <w:r w:rsidRPr="00063A01">
        <w:rPr>
          <w:rFonts w:ascii="Times New Roman" w:hAnsi="Times New Roman" w:cs="Times New Roman"/>
          <w:sz w:val="24"/>
          <w:szCs w:val="24"/>
        </w:rPr>
        <w:t>Кино.–</w:t>
      </w:r>
      <w:proofErr w:type="gramEnd"/>
      <w:r w:rsidRPr="00063A01">
        <w:rPr>
          <w:rFonts w:ascii="Times New Roman" w:hAnsi="Times New Roman" w:cs="Times New Roman"/>
          <w:sz w:val="24"/>
          <w:szCs w:val="24"/>
        </w:rPr>
        <w:t>М.: Наука. – 1977. – С. 118-123.</w:t>
      </w:r>
    </w:p>
    <w:sectPr w:rsidR="005D3BDF" w:rsidRPr="00063A01" w:rsidSect="006A77F7">
      <w:pgSz w:w="11909" w:h="16834"/>
      <w:pgMar w:top="1134" w:right="1418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1814"/>
    <w:multiLevelType w:val="hybridMultilevel"/>
    <w:tmpl w:val="85D8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A3D35"/>
    <w:multiLevelType w:val="multilevel"/>
    <w:tmpl w:val="9FA4EAE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353535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0B21F2"/>
    <w:multiLevelType w:val="multilevel"/>
    <w:tmpl w:val="16C02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05070848">
    <w:abstractNumId w:val="2"/>
  </w:num>
  <w:num w:numId="2" w16cid:durableId="471872673">
    <w:abstractNumId w:val="1"/>
  </w:num>
  <w:num w:numId="3" w16cid:durableId="21812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82"/>
    <w:rsid w:val="00063A01"/>
    <w:rsid w:val="004F200B"/>
    <w:rsid w:val="005D3BDF"/>
    <w:rsid w:val="006A77F7"/>
    <w:rsid w:val="008607F0"/>
    <w:rsid w:val="00A87C82"/>
    <w:rsid w:val="00B8670F"/>
    <w:rsid w:val="00D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AA406D"/>
  <w15:docId w15:val="{9796798C-9FF7-B749-B337-A05F0DCF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063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713</Words>
  <Characters>4701</Characters>
  <Application>Microsoft Office Word</Application>
  <DocSecurity>0</DocSecurity>
  <Lines>82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</cp:lastModifiedBy>
  <cp:revision>4</cp:revision>
  <dcterms:created xsi:type="dcterms:W3CDTF">2025-03-09T20:21:00Z</dcterms:created>
  <dcterms:modified xsi:type="dcterms:W3CDTF">2025-03-09T20:45:00Z</dcterms:modified>
</cp:coreProperties>
</file>