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20" w:rsidRPr="000F7820" w:rsidRDefault="000F7820" w:rsidP="00E05E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820">
        <w:rPr>
          <w:rFonts w:ascii="Times New Roman" w:hAnsi="Times New Roman" w:cs="Times New Roman"/>
          <w:b/>
          <w:bCs/>
          <w:sz w:val="24"/>
          <w:szCs w:val="24"/>
        </w:rPr>
        <w:t xml:space="preserve">Репрезентация женской травмы в произведении А. </w:t>
      </w:r>
      <w:proofErr w:type="spellStart"/>
      <w:r w:rsidRPr="000F7820">
        <w:rPr>
          <w:rFonts w:ascii="Times New Roman" w:hAnsi="Times New Roman" w:cs="Times New Roman"/>
          <w:b/>
          <w:bCs/>
          <w:sz w:val="24"/>
          <w:szCs w:val="24"/>
        </w:rPr>
        <w:t>Старобинец</w:t>
      </w:r>
      <w:proofErr w:type="spellEnd"/>
      <w:r w:rsidRPr="000F7820">
        <w:rPr>
          <w:rFonts w:ascii="Times New Roman" w:hAnsi="Times New Roman" w:cs="Times New Roman"/>
          <w:b/>
          <w:bCs/>
          <w:sz w:val="24"/>
          <w:szCs w:val="24"/>
        </w:rPr>
        <w:t xml:space="preserve"> «Посмотри на него»</w:t>
      </w:r>
    </w:p>
    <w:p w:rsidR="006425A5" w:rsidRDefault="000F7820" w:rsidP="00E05E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782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итова Анастасия Николаевна</w:t>
      </w:r>
    </w:p>
    <w:p w:rsidR="001A2654" w:rsidRPr="00856C6C" w:rsidRDefault="000F7820" w:rsidP="00E05EB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>Студент</w:t>
      </w:r>
      <w:r w:rsidR="00E05EB8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r w:rsidRPr="00A93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4-го курса Казанского Федерального университета ИФМК, Казань, Россия</w:t>
      </w:r>
    </w:p>
    <w:p w:rsidR="001A2654" w:rsidRPr="0082315D" w:rsidRDefault="001A265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 xml:space="preserve">На рубеже 1980 – 1990-х годов в русской литературе открывается новый этап существования фем-прозы, отличительной чертой которого становится сосредоточенность на осмыслении и презентации женской травмы. Характер женской травмы в произведениях конца 2010-х – первой половины 2020-х годов  достаточно часто связывается с телесной стороной женского опыта. Одним из вариантов объяснения </w:t>
      </w:r>
      <w:r w:rsidR="00817D0D" w:rsidRPr="0082315D">
        <w:rPr>
          <w:rFonts w:ascii="Times New Roman" w:hAnsi="Times New Roman" w:cs="Times New Roman"/>
          <w:sz w:val="24"/>
          <w:szCs w:val="24"/>
        </w:rPr>
        <w:t>происходящего</w:t>
      </w:r>
      <w:r w:rsidR="000C423D" w:rsidRPr="0082315D">
        <w:rPr>
          <w:rFonts w:ascii="Times New Roman" w:hAnsi="Times New Roman" w:cs="Times New Roman"/>
          <w:sz w:val="24"/>
          <w:szCs w:val="24"/>
        </w:rPr>
        <w:t xml:space="preserve"> </w:t>
      </w:r>
      <w:r w:rsidRPr="0082315D">
        <w:rPr>
          <w:rFonts w:ascii="Times New Roman" w:hAnsi="Times New Roman" w:cs="Times New Roman"/>
          <w:sz w:val="24"/>
          <w:szCs w:val="24"/>
        </w:rPr>
        <w:t xml:space="preserve">может служить активизация на этом этапе феминистского дискурса, который в предыдущие два десятилетия </w:t>
      </w:r>
      <w:proofErr w:type="gramStart"/>
      <w:r w:rsidRPr="0082315D">
        <w:rPr>
          <w:rFonts w:ascii="Times New Roman" w:hAnsi="Times New Roman" w:cs="Times New Roman"/>
          <w:sz w:val="24"/>
          <w:szCs w:val="24"/>
        </w:rPr>
        <w:t>открыто</w:t>
      </w:r>
      <w:proofErr w:type="gramEnd"/>
      <w:r w:rsidRPr="0082315D">
        <w:rPr>
          <w:rFonts w:ascii="Times New Roman" w:hAnsi="Times New Roman" w:cs="Times New Roman"/>
          <w:sz w:val="24"/>
          <w:szCs w:val="24"/>
        </w:rPr>
        <w:t xml:space="preserve"> не транслировался. </w:t>
      </w:r>
    </w:p>
    <w:p w:rsidR="001A2654" w:rsidRPr="0082315D" w:rsidRDefault="002032A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 xml:space="preserve">В данной работе анализируется </w:t>
      </w:r>
      <w:r w:rsidR="00E05EB8" w:rsidRPr="0082315D">
        <w:rPr>
          <w:rFonts w:ascii="Times New Roman" w:hAnsi="Times New Roman" w:cs="Times New Roman"/>
          <w:sz w:val="24"/>
          <w:szCs w:val="24"/>
        </w:rPr>
        <w:t>р</w:t>
      </w:r>
      <w:r w:rsidR="001A2654" w:rsidRPr="0082315D">
        <w:rPr>
          <w:rFonts w:ascii="Times New Roman" w:hAnsi="Times New Roman" w:cs="Times New Roman"/>
          <w:sz w:val="24"/>
          <w:szCs w:val="24"/>
        </w:rPr>
        <w:t xml:space="preserve">епрезентация женской травмы в произведении А. </w:t>
      </w:r>
      <w:proofErr w:type="spellStart"/>
      <w:r w:rsidR="001A2654" w:rsidRPr="0082315D">
        <w:rPr>
          <w:rFonts w:ascii="Times New Roman" w:hAnsi="Times New Roman" w:cs="Times New Roman"/>
          <w:sz w:val="24"/>
          <w:szCs w:val="24"/>
        </w:rPr>
        <w:t>Старобинец</w:t>
      </w:r>
      <w:proofErr w:type="spellEnd"/>
      <w:r w:rsidR="00546338" w:rsidRPr="0082315D">
        <w:rPr>
          <w:rFonts w:ascii="Times New Roman" w:hAnsi="Times New Roman" w:cs="Times New Roman"/>
          <w:sz w:val="24"/>
          <w:szCs w:val="24"/>
        </w:rPr>
        <w:t xml:space="preserve"> «Посмотри на него»</w:t>
      </w:r>
      <w:r w:rsidR="00E05EB8" w:rsidRPr="0082315D">
        <w:rPr>
          <w:rFonts w:ascii="Times New Roman" w:hAnsi="Times New Roman" w:cs="Times New Roman"/>
          <w:sz w:val="24"/>
          <w:szCs w:val="24"/>
        </w:rPr>
        <w:t>, которая осуществляется</w:t>
      </w:r>
      <w:r w:rsidR="001A2654" w:rsidRPr="0082315D">
        <w:rPr>
          <w:rFonts w:ascii="Times New Roman" w:hAnsi="Times New Roman" w:cs="Times New Roman"/>
          <w:sz w:val="24"/>
          <w:szCs w:val="24"/>
        </w:rPr>
        <w:t xml:space="preserve"> через реконструкцию социального опыта, посредством </w:t>
      </w:r>
      <w:r w:rsidR="00817D0D" w:rsidRPr="0082315D">
        <w:rPr>
          <w:rFonts w:ascii="Times New Roman" w:hAnsi="Times New Roman" w:cs="Times New Roman"/>
          <w:sz w:val="24"/>
          <w:szCs w:val="24"/>
        </w:rPr>
        <w:t>реализации категории телесности</w:t>
      </w:r>
      <w:r w:rsidR="001A2654" w:rsidRPr="0082315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A2654" w:rsidRPr="0082315D">
        <w:rPr>
          <w:rFonts w:ascii="Times New Roman" w:hAnsi="Times New Roman" w:cs="Times New Roman"/>
          <w:sz w:val="24"/>
          <w:szCs w:val="24"/>
        </w:rPr>
        <w:t>нарративном</w:t>
      </w:r>
      <w:proofErr w:type="spellEnd"/>
      <w:r w:rsidR="001A2654" w:rsidRPr="0082315D">
        <w:rPr>
          <w:rFonts w:ascii="Times New Roman" w:hAnsi="Times New Roman" w:cs="Times New Roman"/>
          <w:sz w:val="24"/>
          <w:szCs w:val="24"/>
        </w:rPr>
        <w:t xml:space="preserve"> уровне.</w:t>
      </w:r>
    </w:p>
    <w:p w:rsidR="00E05EB8" w:rsidRPr="0082315D" w:rsidRDefault="001A265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>Одним из важнейших аспектов той</w:t>
      </w:r>
      <w:r w:rsidR="009D776B" w:rsidRPr="0082315D">
        <w:rPr>
          <w:rFonts w:ascii="Times New Roman" w:hAnsi="Times New Roman" w:cs="Times New Roman"/>
          <w:sz w:val="24"/>
          <w:szCs w:val="24"/>
        </w:rPr>
        <w:t xml:space="preserve"> </w:t>
      </w:r>
      <w:r w:rsidRPr="0082315D">
        <w:rPr>
          <w:rFonts w:ascii="Times New Roman" w:hAnsi="Times New Roman" w:cs="Times New Roman"/>
          <w:sz w:val="24"/>
          <w:szCs w:val="24"/>
        </w:rPr>
        <w:t xml:space="preserve">и другой части оказывается конфликт беременной женщины и государственной системы. При этом значимым элементом оценки данного конфликта становится контраст между российской и немецкой системой здравоохранения. А. </w:t>
      </w:r>
      <w:proofErr w:type="spellStart"/>
      <w:r w:rsidRPr="0082315D">
        <w:rPr>
          <w:rFonts w:ascii="Times New Roman" w:hAnsi="Times New Roman" w:cs="Times New Roman"/>
          <w:sz w:val="24"/>
          <w:szCs w:val="24"/>
        </w:rPr>
        <w:t>Старобинец</w:t>
      </w:r>
      <w:proofErr w:type="spellEnd"/>
      <w:r w:rsidRPr="0082315D">
        <w:rPr>
          <w:rFonts w:ascii="Times New Roman" w:hAnsi="Times New Roman" w:cs="Times New Roman"/>
          <w:sz w:val="24"/>
          <w:szCs w:val="24"/>
        </w:rPr>
        <w:t xml:space="preserve"> подчеркивает неизменность советской системы, изображая поликлиники и врачей, у которых осталась прежняя политика: женщина – тело, производящее ребенка, «учебный материал», которому не нужно проявление сострадания. </w:t>
      </w:r>
    </w:p>
    <w:p w:rsidR="001A2654" w:rsidRPr="0082315D" w:rsidRDefault="001A265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>Отдельно сравнивается система  абортов</w:t>
      </w:r>
      <w:r w:rsidR="00E05EB8" w:rsidRPr="0082315D">
        <w:rPr>
          <w:rFonts w:ascii="Times New Roman" w:hAnsi="Times New Roman" w:cs="Times New Roman"/>
          <w:sz w:val="24"/>
          <w:szCs w:val="24"/>
        </w:rPr>
        <w:t xml:space="preserve"> в России и в Германии</w:t>
      </w:r>
      <w:r w:rsidRPr="0082315D">
        <w:rPr>
          <w:rFonts w:ascii="Times New Roman" w:hAnsi="Times New Roman" w:cs="Times New Roman"/>
          <w:sz w:val="24"/>
          <w:szCs w:val="24"/>
        </w:rPr>
        <w:t xml:space="preserve">: в российских больницах это болезненный и травмирующий процесс, в Германии – более гуманный. </w:t>
      </w:r>
      <w:proofErr w:type="gramStart"/>
      <w:r w:rsidRPr="0082315D">
        <w:rPr>
          <w:rFonts w:ascii="Times New Roman" w:hAnsi="Times New Roman" w:cs="Times New Roman"/>
          <w:sz w:val="24"/>
          <w:szCs w:val="24"/>
        </w:rPr>
        <w:t>Анна Жучкова отмечает предвзятое отношение автора к системе здравоохранения в России и в Германии</w:t>
      </w:r>
      <w:r w:rsidR="00C44575" w:rsidRPr="0082315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C44575" w:rsidRPr="0082315D">
        <w:rPr>
          <w:rFonts w:ascii="Times New Roman" w:hAnsi="Times New Roman" w:cs="Times New Roman"/>
          <w:sz w:val="24"/>
          <w:szCs w:val="24"/>
        </w:rPr>
        <w:t>Жучкова</w:t>
      </w:r>
      <w:proofErr w:type="spellEnd"/>
      <w:r w:rsidR="00C44575" w:rsidRPr="0082315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44575" w:rsidRPr="00823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4575" w:rsidRPr="0082315D">
        <w:rPr>
          <w:rFonts w:ascii="Times New Roman" w:hAnsi="Times New Roman" w:cs="Times New Roman"/>
          <w:sz w:val="24"/>
          <w:szCs w:val="24"/>
        </w:rPr>
        <w:t>Электронный ресурс]</w:t>
      </w:r>
      <w:r w:rsidRPr="008231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A2654" w:rsidRPr="0082315D" w:rsidRDefault="001A265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>Таким образом, российская система представляется деградирующей и не выполняющей свои обязанности, немецкая система здравоохранения становится прогрессивной и помогающий всем. Негативный социальный опыт становится способом презентации женской травмы на сюжетном уровне.</w:t>
      </w:r>
    </w:p>
    <w:p w:rsidR="001A2654" w:rsidRPr="0082315D" w:rsidRDefault="001A265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 xml:space="preserve">На образном уровне женская травма презентуется посредством категории телесности. В этой связи особую значимость приобретает название произведения – «Посмотри на него». Оно отражает кульминационный момент в сюжете, когда повествовательница стоит перед выбором – смотреть на своего мертвого ребенка или нет. В данном эпизоде сталкиваются две контрастные точки зрения. С одной стороны, позиция системы, в рамках которой женщина – тело, которое рожает, а ребенок воспринимается как плод. Лишение субъектности в отношении обоих участников процесса рождения достраивается благодаря упоминанию патологии плода. </w:t>
      </w:r>
    </w:p>
    <w:p w:rsidR="001A2654" w:rsidRPr="0082315D" w:rsidRDefault="001A265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>Вторая точка зрения представлена именно повествовательницей. Ребенок в произведении перестает быть объектом-плодом</w:t>
      </w:r>
      <w:r w:rsidR="00546338" w:rsidRPr="0082315D">
        <w:rPr>
          <w:rFonts w:ascii="Times New Roman" w:hAnsi="Times New Roman" w:cs="Times New Roman"/>
          <w:sz w:val="24"/>
          <w:szCs w:val="24"/>
        </w:rPr>
        <w:t xml:space="preserve"> </w:t>
      </w:r>
      <w:r w:rsidRPr="0082315D">
        <w:rPr>
          <w:rFonts w:ascii="Times New Roman" w:hAnsi="Times New Roman" w:cs="Times New Roman"/>
          <w:sz w:val="24"/>
          <w:szCs w:val="24"/>
        </w:rPr>
        <w:t xml:space="preserve">только в тот момент, когда она решается на него посмотреть. Здесь мы находим описание ребенка, которое утверждает его субъектность: описывается внешность в сочетание с предполагаемым эмоциональным состоянием. </w:t>
      </w:r>
    </w:p>
    <w:p w:rsidR="001A2654" w:rsidRPr="0082315D" w:rsidRDefault="001A265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 xml:space="preserve">Коммуникация с детьми у повествовательницы в целом происходит через категорию телесности. Достаточно отчетливо это наблюдается во взаимоотношениях </w:t>
      </w:r>
      <w:r w:rsidR="00817D0D" w:rsidRPr="0082315D">
        <w:rPr>
          <w:rFonts w:ascii="Times New Roman" w:hAnsi="Times New Roman" w:cs="Times New Roman"/>
          <w:sz w:val="24"/>
          <w:szCs w:val="24"/>
        </w:rPr>
        <w:t xml:space="preserve">с дочкой Сашей. Причем здесь же </w:t>
      </w:r>
      <w:r w:rsidR="000C423D" w:rsidRPr="0082315D">
        <w:rPr>
          <w:rFonts w:ascii="Times New Roman" w:hAnsi="Times New Roman" w:cs="Times New Roman"/>
          <w:sz w:val="24"/>
          <w:szCs w:val="24"/>
        </w:rPr>
        <w:t xml:space="preserve">проявляется </w:t>
      </w:r>
      <w:r w:rsidRPr="0082315D">
        <w:rPr>
          <w:rFonts w:ascii="Times New Roman" w:hAnsi="Times New Roman" w:cs="Times New Roman"/>
          <w:sz w:val="24"/>
          <w:szCs w:val="24"/>
        </w:rPr>
        <w:t>и эмоциональная отстраненность матери от дочери</w:t>
      </w:r>
      <w:r w:rsidR="00110C1B" w:rsidRPr="008231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2654" w:rsidRPr="0082315D" w:rsidRDefault="001A2654" w:rsidP="000C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 xml:space="preserve">Наконец, женская травма репрезентирована на нарративном уровне. В первой </w:t>
      </w:r>
      <w:r w:rsidR="00817D0D" w:rsidRPr="0082315D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82315D">
        <w:rPr>
          <w:rFonts w:ascii="Times New Roman" w:hAnsi="Times New Roman" w:cs="Times New Roman"/>
          <w:sz w:val="24"/>
          <w:szCs w:val="24"/>
        </w:rPr>
        <w:t xml:space="preserve">представлен личный опыт писательницы. </w:t>
      </w:r>
      <w:proofErr w:type="spellStart"/>
      <w:r w:rsidRPr="0082315D">
        <w:rPr>
          <w:rFonts w:ascii="Times New Roman" w:hAnsi="Times New Roman" w:cs="Times New Roman"/>
          <w:sz w:val="24"/>
          <w:szCs w:val="24"/>
        </w:rPr>
        <w:t>Нарратором</w:t>
      </w:r>
      <w:proofErr w:type="spellEnd"/>
      <w:r w:rsidRPr="0082315D">
        <w:rPr>
          <w:rFonts w:ascii="Times New Roman" w:hAnsi="Times New Roman" w:cs="Times New Roman"/>
          <w:sz w:val="24"/>
          <w:szCs w:val="24"/>
        </w:rPr>
        <w:t xml:space="preserve"> становится собственное «я» автора, переживающее данные события. Здесь мы можем говорить о «повествование с переменой уровня», следовательно</w:t>
      </w:r>
      <w:r w:rsidR="00E05EB8" w:rsidRPr="0082315D">
        <w:rPr>
          <w:rFonts w:ascii="Times New Roman" w:hAnsi="Times New Roman" w:cs="Times New Roman"/>
          <w:sz w:val="24"/>
          <w:szCs w:val="24"/>
        </w:rPr>
        <w:t>,</w:t>
      </w:r>
      <w:r w:rsidRPr="0082315D">
        <w:rPr>
          <w:rFonts w:ascii="Times New Roman" w:hAnsi="Times New Roman" w:cs="Times New Roman"/>
          <w:sz w:val="24"/>
          <w:szCs w:val="24"/>
        </w:rPr>
        <w:t xml:space="preserve"> стирается «граница между двумя </w:t>
      </w:r>
      <w:r w:rsidRPr="0082315D">
        <w:rPr>
          <w:rFonts w:ascii="Times New Roman" w:hAnsi="Times New Roman" w:cs="Times New Roman"/>
          <w:sz w:val="24"/>
          <w:szCs w:val="24"/>
        </w:rPr>
        <w:lastRenderedPageBreak/>
        <w:t>мирами – миром, где рассказывают, и миром, о котором рассказывают» [</w:t>
      </w:r>
      <w:proofErr w:type="spellStart"/>
      <w:r w:rsidRPr="0082315D">
        <w:rPr>
          <w:rFonts w:ascii="Times New Roman" w:hAnsi="Times New Roman" w:cs="Times New Roman"/>
          <w:sz w:val="24"/>
          <w:szCs w:val="24"/>
        </w:rPr>
        <w:t>Женетт</w:t>
      </w:r>
      <w:proofErr w:type="spellEnd"/>
      <w:r w:rsidR="00E25A2C" w:rsidRPr="0082315D">
        <w:rPr>
          <w:rFonts w:ascii="Times New Roman" w:hAnsi="Times New Roman" w:cs="Times New Roman"/>
          <w:sz w:val="24"/>
          <w:szCs w:val="24"/>
        </w:rPr>
        <w:t>: 415</w:t>
      </w:r>
      <w:r w:rsidRPr="0082315D">
        <w:rPr>
          <w:rFonts w:ascii="Times New Roman" w:hAnsi="Times New Roman" w:cs="Times New Roman"/>
          <w:sz w:val="24"/>
          <w:szCs w:val="24"/>
        </w:rPr>
        <w:t>]. Первые повествовательный уровень –</w:t>
      </w:r>
      <w:r w:rsidR="00817D0D" w:rsidRPr="0082315D">
        <w:rPr>
          <w:rFonts w:ascii="Times New Roman" w:hAnsi="Times New Roman" w:cs="Times New Roman"/>
          <w:sz w:val="24"/>
          <w:szCs w:val="24"/>
        </w:rPr>
        <w:t xml:space="preserve"> </w:t>
      </w:r>
      <w:r w:rsidR="000C423D" w:rsidRPr="0082315D">
        <w:rPr>
          <w:rFonts w:ascii="Times New Roman" w:hAnsi="Times New Roman" w:cs="Times New Roman"/>
          <w:sz w:val="24"/>
          <w:szCs w:val="24"/>
        </w:rPr>
        <w:t>повествование от</w:t>
      </w:r>
      <w:r w:rsidRPr="0082315D">
        <w:rPr>
          <w:rFonts w:ascii="Times New Roman" w:hAnsi="Times New Roman" w:cs="Times New Roman"/>
          <w:sz w:val="24"/>
          <w:szCs w:val="24"/>
        </w:rPr>
        <w:t xml:space="preserve"> первого лица, которое анализирует и проговаривает момент происходивших действий. Второй повествовательный уровень позволяет автору комментировать события, подкрепляя это фразами «тогда я об этом не знала», «тогда я не понимала»</w:t>
      </w:r>
      <w:r w:rsidR="00C44575" w:rsidRPr="0082315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817D0D" w:rsidRPr="0082315D">
        <w:rPr>
          <w:rFonts w:ascii="Times New Roman" w:hAnsi="Times New Roman" w:cs="Times New Roman"/>
          <w:sz w:val="24"/>
          <w:szCs w:val="24"/>
        </w:rPr>
        <w:t>Старобинец</w:t>
      </w:r>
      <w:proofErr w:type="spellEnd"/>
      <w:r w:rsidR="00817D0D" w:rsidRPr="0082315D">
        <w:rPr>
          <w:rFonts w:ascii="Times New Roman" w:hAnsi="Times New Roman" w:cs="Times New Roman"/>
          <w:sz w:val="24"/>
          <w:szCs w:val="24"/>
        </w:rPr>
        <w:t xml:space="preserve">: </w:t>
      </w:r>
      <w:r w:rsidR="00FE73E9" w:rsidRPr="0082315D">
        <w:rPr>
          <w:rFonts w:ascii="Times New Roman" w:hAnsi="Times New Roman" w:cs="Times New Roman"/>
          <w:sz w:val="24"/>
          <w:szCs w:val="24"/>
        </w:rPr>
        <w:t>52</w:t>
      </w:r>
      <w:r w:rsidR="00C44575" w:rsidRPr="0082315D">
        <w:rPr>
          <w:rFonts w:ascii="Times New Roman" w:hAnsi="Times New Roman" w:cs="Times New Roman"/>
          <w:sz w:val="24"/>
          <w:szCs w:val="24"/>
        </w:rPr>
        <w:t>]</w:t>
      </w:r>
      <w:r w:rsidRPr="0082315D">
        <w:rPr>
          <w:rFonts w:ascii="Times New Roman" w:hAnsi="Times New Roman" w:cs="Times New Roman"/>
          <w:sz w:val="24"/>
          <w:szCs w:val="24"/>
        </w:rPr>
        <w:t xml:space="preserve">. Прием </w:t>
      </w:r>
      <w:proofErr w:type="spellStart"/>
      <w:r w:rsidRPr="0082315D">
        <w:rPr>
          <w:rFonts w:ascii="Times New Roman" w:hAnsi="Times New Roman" w:cs="Times New Roman"/>
          <w:sz w:val="24"/>
          <w:szCs w:val="24"/>
        </w:rPr>
        <w:t>металепсиса</w:t>
      </w:r>
      <w:proofErr w:type="spellEnd"/>
      <w:r w:rsidRPr="0082315D">
        <w:rPr>
          <w:rFonts w:ascii="Times New Roman" w:hAnsi="Times New Roman" w:cs="Times New Roman"/>
          <w:sz w:val="24"/>
          <w:szCs w:val="24"/>
        </w:rPr>
        <w:t xml:space="preserve"> демонстрирует проживание горя и травматический опыт.</w:t>
      </w:r>
    </w:p>
    <w:p w:rsidR="001A2654" w:rsidRPr="0082315D" w:rsidRDefault="001A265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 xml:space="preserve">Вторая часть построена на синтезе повествовательных стратегий: используется дневник, интервью, переписка. Как было сказано выше, здесь демонстрируется опыт других. </w:t>
      </w:r>
    </w:p>
    <w:p w:rsidR="001A2654" w:rsidRPr="0082315D" w:rsidRDefault="001A2654" w:rsidP="00E05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 xml:space="preserve">Женская травма продолжает оставаться актуальной в </w:t>
      </w:r>
      <w:proofErr w:type="spellStart"/>
      <w:r w:rsidRPr="0082315D">
        <w:rPr>
          <w:rFonts w:ascii="Times New Roman" w:hAnsi="Times New Roman" w:cs="Times New Roman"/>
          <w:sz w:val="24"/>
          <w:szCs w:val="24"/>
        </w:rPr>
        <w:t>фем-прозе</w:t>
      </w:r>
      <w:proofErr w:type="spellEnd"/>
      <w:r w:rsidRPr="0082315D">
        <w:rPr>
          <w:rFonts w:ascii="Times New Roman" w:hAnsi="Times New Roman" w:cs="Times New Roman"/>
          <w:sz w:val="24"/>
          <w:szCs w:val="24"/>
        </w:rPr>
        <w:t xml:space="preserve"> последнего десятилетия</w:t>
      </w:r>
      <w:r w:rsidR="00817D0D" w:rsidRPr="0082315D">
        <w:rPr>
          <w:rFonts w:ascii="Times New Roman" w:hAnsi="Times New Roman" w:cs="Times New Roman"/>
          <w:sz w:val="24"/>
          <w:szCs w:val="24"/>
        </w:rPr>
        <w:t>, и о</w:t>
      </w:r>
      <w:r w:rsidRPr="0082315D">
        <w:rPr>
          <w:rFonts w:ascii="Times New Roman" w:hAnsi="Times New Roman" w:cs="Times New Roman"/>
          <w:sz w:val="24"/>
          <w:szCs w:val="24"/>
        </w:rPr>
        <w:t xml:space="preserve">казывается связанной с личным опытом или имитацией личного опыта, </w:t>
      </w:r>
      <w:r w:rsidR="00817D0D" w:rsidRPr="0082315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82315D">
        <w:rPr>
          <w:rFonts w:ascii="Times New Roman" w:hAnsi="Times New Roman" w:cs="Times New Roman"/>
          <w:sz w:val="24"/>
          <w:szCs w:val="24"/>
        </w:rPr>
        <w:t xml:space="preserve">становится объяснением использования стратегии автофикшн. Именно поэтому в противовес расширению коллективного женского происходит его сужение в социальную плоскость. </w:t>
      </w:r>
    </w:p>
    <w:p w:rsidR="00C44575" w:rsidRDefault="00C44575" w:rsidP="00C445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315D">
        <w:rPr>
          <w:rFonts w:ascii="Times New Roman" w:hAnsi="Times New Roman" w:cs="Times New Roman"/>
          <w:sz w:val="24"/>
          <w:szCs w:val="24"/>
        </w:rPr>
        <w:t>Литература:</w:t>
      </w:r>
    </w:p>
    <w:p w:rsidR="00C44575" w:rsidRPr="00C44575" w:rsidRDefault="00C44575" w:rsidP="00110C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4575">
        <w:rPr>
          <w:rFonts w:ascii="Times New Roman" w:hAnsi="Times New Roman" w:cs="Times New Roman"/>
          <w:sz w:val="24"/>
          <w:szCs w:val="24"/>
        </w:rPr>
        <w:t>Жуч</w:t>
      </w:r>
      <w:r w:rsidR="00FE73E9">
        <w:rPr>
          <w:rFonts w:ascii="Times New Roman" w:hAnsi="Times New Roman" w:cs="Times New Roman"/>
          <w:sz w:val="24"/>
          <w:szCs w:val="24"/>
        </w:rPr>
        <w:t xml:space="preserve">кова А. Токсичная толерантность </w:t>
      </w:r>
      <w:r w:rsidRPr="00C44575">
        <w:rPr>
          <w:rFonts w:ascii="Times New Roman" w:hAnsi="Times New Roman" w:cs="Times New Roman"/>
          <w:sz w:val="24"/>
          <w:szCs w:val="24"/>
        </w:rPr>
        <w:t>//</w:t>
      </w:r>
      <w:r w:rsidR="00FE73E9">
        <w:rPr>
          <w:rFonts w:ascii="Times New Roman" w:hAnsi="Times New Roman" w:cs="Times New Roman"/>
          <w:sz w:val="24"/>
          <w:szCs w:val="24"/>
        </w:rPr>
        <w:t xml:space="preserve"> </w:t>
      </w:r>
      <w:r w:rsidRPr="00C44575">
        <w:rPr>
          <w:rFonts w:ascii="Times New Roman" w:hAnsi="Times New Roman" w:cs="Times New Roman"/>
          <w:sz w:val="24"/>
          <w:szCs w:val="24"/>
        </w:rPr>
        <w:t xml:space="preserve">Октябрь. </w:t>
      </w:r>
      <w:r w:rsidRPr="00C44575">
        <w:rPr>
          <w:rFonts w:ascii="Times New Roman" w:hAnsi="Times New Roman" w:cs="Times New Roman"/>
          <w:sz w:val="24"/>
          <w:szCs w:val="24"/>
          <w:lang w:val="en-US"/>
        </w:rPr>
        <w:t xml:space="preserve">2018. № 11.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4457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FF482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https://www.intelros.ru/readroom/oktyabr/o11-2018/37149-toksichnaya-tolerantnost.html</w:t>
        </w:r>
      </w:hyperlink>
    </w:p>
    <w:p w:rsidR="00C44575" w:rsidRPr="00C44575" w:rsidRDefault="00C44575" w:rsidP="00C44575">
      <w:pPr>
        <w:pStyle w:val="a3"/>
        <w:numPr>
          <w:ilvl w:val="0"/>
          <w:numId w:val="1"/>
        </w:numPr>
        <w:spacing w:after="0" w:line="197" w:lineRule="atLeast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C44575">
        <w:rPr>
          <w:rFonts w:ascii="Times New Roman" w:hAnsi="Times New Roman" w:cs="Times New Roman"/>
          <w:sz w:val="24"/>
          <w:szCs w:val="24"/>
        </w:rPr>
        <w:t xml:space="preserve">Женетт Ж. Фигуры: в </w:t>
      </w:r>
      <w:r w:rsidR="006C107C">
        <w:rPr>
          <w:rFonts w:ascii="Times New Roman" w:hAnsi="Times New Roman" w:cs="Times New Roman"/>
          <w:sz w:val="24"/>
          <w:szCs w:val="24"/>
        </w:rPr>
        <w:t>2 Т. / пер. с фр</w:t>
      </w:r>
      <w:r>
        <w:rPr>
          <w:rFonts w:ascii="Times New Roman" w:hAnsi="Times New Roman" w:cs="Times New Roman"/>
          <w:sz w:val="24"/>
          <w:szCs w:val="24"/>
        </w:rPr>
        <w:t xml:space="preserve">. Перцовой Н. </w:t>
      </w:r>
      <w:r w:rsidR="00FE73E9">
        <w:rPr>
          <w:rFonts w:ascii="Times New Roman" w:hAnsi="Times New Roman" w:cs="Times New Roman"/>
          <w:sz w:val="24"/>
          <w:szCs w:val="24"/>
        </w:rPr>
        <w:t xml:space="preserve">Т. 1-2. </w:t>
      </w:r>
      <w:r>
        <w:rPr>
          <w:rFonts w:ascii="Times New Roman" w:hAnsi="Times New Roman" w:cs="Times New Roman"/>
          <w:sz w:val="24"/>
          <w:szCs w:val="24"/>
        </w:rPr>
        <w:t>М.</w:t>
      </w:r>
      <w:r w:rsidR="00FE73E9">
        <w:rPr>
          <w:rFonts w:ascii="Times New Roman" w:hAnsi="Times New Roman" w:cs="Times New Roman"/>
          <w:sz w:val="24"/>
          <w:szCs w:val="24"/>
        </w:rPr>
        <w:t>,</w:t>
      </w:r>
      <w:r w:rsidRPr="00E25A2C">
        <w:rPr>
          <w:rFonts w:ascii="Times New Roman" w:hAnsi="Times New Roman" w:cs="Times New Roman"/>
          <w:sz w:val="24"/>
          <w:szCs w:val="24"/>
        </w:rPr>
        <w:t xml:space="preserve"> </w:t>
      </w:r>
      <w:r w:rsidR="00E25A2C">
        <w:rPr>
          <w:rFonts w:ascii="Times New Roman" w:hAnsi="Times New Roman" w:cs="Times New Roman"/>
          <w:sz w:val="24"/>
          <w:szCs w:val="24"/>
        </w:rPr>
        <w:t xml:space="preserve">1998. </w:t>
      </w:r>
    </w:p>
    <w:p w:rsidR="00C44575" w:rsidRDefault="00E25A2C" w:rsidP="00110C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5A2C">
        <w:rPr>
          <w:rFonts w:ascii="Times New Roman" w:hAnsi="Times New Roman" w:cs="Times New Roman"/>
          <w:sz w:val="24"/>
          <w:szCs w:val="24"/>
        </w:rPr>
        <w:t>Старобинец</w:t>
      </w:r>
      <w:proofErr w:type="spellEnd"/>
      <w:r w:rsidRPr="00E25A2C">
        <w:rPr>
          <w:rFonts w:ascii="Times New Roman" w:hAnsi="Times New Roman" w:cs="Times New Roman"/>
          <w:sz w:val="24"/>
          <w:szCs w:val="24"/>
        </w:rPr>
        <w:t xml:space="preserve"> </w:t>
      </w:r>
      <w:r w:rsidR="00FE73E9" w:rsidRPr="00E25A2C">
        <w:rPr>
          <w:rFonts w:ascii="Times New Roman" w:hAnsi="Times New Roman" w:cs="Times New Roman"/>
          <w:sz w:val="24"/>
          <w:szCs w:val="24"/>
        </w:rPr>
        <w:t xml:space="preserve">А. А. </w:t>
      </w:r>
      <w:r w:rsidR="00FE73E9">
        <w:rPr>
          <w:rFonts w:ascii="Times New Roman" w:hAnsi="Times New Roman" w:cs="Times New Roman"/>
          <w:sz w:val="24"/>
          <w:szCs w:val="24"/>
        </w:rPr>
        <w:t>Посмотри на него. М., 2017.</w:t>
      </w:r>
    </w:p>
    <w:p w:rsidR="0089635C" w:rsidRDefault="0089635C" w:rsidP="00896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5D1" w:rsidRPr="0089635C" w:rsidRDefault="005F75D1" w:rsidP="00896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5D1" w:rsidRPr="0089635C" w:rsidSect="000C42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83052"/>
    <w:multiLevelType w:val="hybridMultilevel"/>
    <w:tmpl w:val="0CB6E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7820"/>
    <w:rsid w:val="00031F6E"/>
    <w:rsid w:val="000376E7"/>
    <w:rsid w:val="000C423D"/>
    <w:rsid w:val="000F7820"/>
    <w:rsid w:val="00110C1B"/>
    <w:rsid w:val="001535A0"/>
    <w:rsid w:val="001A2654"/>
    <w:rsid w:val="002032A4"/>
    <w:rsid w:val="00216F6D"/>
    <w:rsid w:val="00284DD3"/>
    <w:rsid w:val="002C009F"/>
    <w:rsid w:val="002E32CD"/>
    <w:rsid w:val="004016B7"/>
    <w:rsid w:val="00546338"/>
    <w:rsid w:val="005F75D1"/>
    <w:rsid w:val="006425A5"/>
    <w:rsid w:val="006C107C"/>
    <w:rsid w:val="00812C27"/>
    <w:rsid w:val="00817D0D"/>
    <w:rsid w:val="0082315D"/>
    <w:rsid w:val="00841D75"/>
    <w:rsid w:val="00856C6C"/>
    <w:rsid w:val="0089635C"/>
    <w:rsid w:val="00907509"/>
    <w:rsid w:val="009D776B"/>
    <w:rsid w:val="00A176DB"/>
    <w:rsid w:val="00A43963"/>
    <w:rsid w:val="00A47CCA"/>
    <w:rsid w:val="00A80F2C"/>
    <w:rsid w:val="00AC5375"/>
    <w:rsid w:val="00B03668"/>
    <w:rsid w:val="00B50E07"/>
    <w:rsid w:val="00BE6C1C"/>
    <w:rsid w:val="00C44575"/>
    <w:rsid w:val="00D119C0"/>
    <w:rsid w:val="00D95EE8"/>
    <w:rsid w:val="00DB508D"/>
    <w:rsid w:val="00E05EB8"/>
    <w:rsid w:val="00E25A2C"/>
    <w:rsid w:val="00EA1AF3"/>
    <w:rsid w:val="00F40091"/>
    <w:rsid w:val="00FE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20"/>
  </w:style>
  <w:style w:type="paragraph" w:styleId="1">
    <w:name w:val="heading 1"/>
    <w:basedOn w:val="a"/>
    <w:link w:val="10"/>
    <w:uiPriority w:val="9"/>
    <w:qFormat/>
    <w:rsid w:val="00C44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5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457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44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telros.ru/readroom/oktyabr/o11-2018/37149-toksichnaya-tolerantnos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73866-01DD-44C3-B5B6-69BBFE52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79023</dc:creator>
  <cp:keywords/>
  <dc:description/>
  <cp:lastModifiedBy>79023</cp:lastModifiedBy>
  <cp:revision>17</cp:revision>
  <dcterms:created xsi:type="dcterms:W3CDTF">2025-03-01T05:11:00Z</dcterms:created>
  <dcterms:modified xsi:type="dcterms:W3CDTF">2025-03-03T06:36:00Z</dcterms:modified>
</cp:coreProperties>
</file>