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 Bold" w:hAnsi="Times New Roman Bold" w:cs="Times New Roman Bold"/>
          <w:b/>
          <w:bCs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 Bold" w:hAnsi="Times New Roman Bold" w:cs="Times New Roman Bold"/>
          <w:b/>
          <w:bCs/>
          <w:sz w:val="24"/>
          <w:szCs w:val="24"/>
          <w:lang w:val="ru-RU"/>
        </w:rPr>
        <w:t>Математическая логика и женская интуиция в пьесе С.В. Ковалевской и А.Ш. Леффлер «Борьба за счастье»</w:t>
      </w:r>
    </w:p>
    <w:p>
      <w:pPr>
        <w:jc w:val="center"/>
        <w:rPr>
          <w:rFonts w:ascii="Times New Roman Bold" w:hAnsi="Times New Roman Bold" w:cs="Times New Roman Bold"/>
          <w:b/>
          <w:bCs/>
          <w:sz w:val="24"/>
          <w:szCs w:val="24"/>
          <w:lang w:val="ru-RU"/>
        </w:rPr>
      </w:pPr>
    </w:p>
    <w:p>
      <w:pPr>
        <w:jc w:val="center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Ли Чжэньхуа</w:t>
      </w:r>
    </w:p>
    <w:p>
      <w:pPr>
        <w:jc w:val="center"/>
        <w:rPr>
          <w:rFonts w:ascii="Times New Roman Regular" w:hAnsi="Times New Roman Regular" w:cs="Times New Roman Regular"/>
          <w:sz w:val="24"/>
          <w:szCs w:val="24"/>
          <w:lang w:val="ru-RU"/>
        </w:rPr>
      </w:pPr>
    </w:p>
    <w:p>
      <w:pPr>
        <w:jc w:val="center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Стажер Московского государственного университета имени М. В. Ломоносова, Москва, Россия</w:t>
      </w:r>
    </w:p>
    <w:p>
      <w:pPr>
        <w:jc w:val="center"/>
        <w:rPr>
          <w:rFonts w:ascii="Times New Roman Regular" w:hAnsi="Times New Roman Regular" w:cs="Times New Roman Regular"/>
          <w:sz w:val="24"/>
          <w:szCs w:val="24"/>
          <w:lang w:val="ru-RU"/>
        </w:rPr>
      </w:pPr>
    </w:p>
    <w:p>
      <w:pPr>
        <w:ind w:firstLine="709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В статье идет речь об оригинальном драматургическом опыте С.В. Ковалевской и шведской писательницы А.Ш. Леффлер, создавших в конце 1880-х гг. не имеющий аналогов проект: состоящую из двух частей пьесу «Борьба за счастье». </w:t>
      </w:r>
    </w:p>
    <w:p>
      <w:pPr>
        <w:ind w:firstLine="709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Софья Васильевна Ковалевская (</w:t>
      </w:r>
      <w:r>
        <w:rPr>
          <w:rFonts w:hint="eastAsia" w:ascii="Times New Roman Regular" w:hAnsi="Times New Roman Regular" w:cs="Times New Roman Regular"/>
          <w:sz w:val="24"/>
          <w:szCs w:val="24"/>
          <w:lang w:val="ru-RU"/>
        </w:rPr>
        <w:t>1850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-</w:t>
      </w:r>
      <w:r>
        <w:rPr>
          <w:rFonts w:hint="eastAsia" w:ascii="Times New Roman Regular" w:hAnsi="Times New Roman Regular" w:cs="Times New Roman Regular"/>
          <w:sz w:val="24"/>
          <w:szCs w:val="24"/>
          <w:lang w:val="ru-RU"/>
        </w:rPr>
        <w:t>1891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) – известный математик, пробовала свои силы и в литературе. Она довольно рано началась писать прозу. Её первые опубликованные художественные произведения были театральными рецензиями в газете «Новое время» в 1876 и 1877 гг. Впоследствии она написала «Воспоминания» и задумалась о написании нескольких прозаических произведений, большинство из которых остались незаконченными. С самой юности она была воодушевлена идеями эмансипации. Для получения полноценного образования ей пришлось заключить фиктивный брак (только так она смогла выехать за границу, где и защитила докторскую диссертацию). Вопросы женского равноправия волновали ее на протяжении всей жизни, поэтому встреча ее с известной шведской писательницей, Анной Шарлоттой Леффлер (1849-1892), также осваивавшей феминистскую проблематику в своих произведениях, была неслучайной. Леффлер так же, как Стриндберг и Ибсен, писала пьесы в духе «новой драма» и считается «основоположницей того, что стало называться современной драмой»[Sigfridsson: 137]. Поэтому, можно предположить, что творческий союз двух женщин должен был дать интересный результат. Так и произошло: вероятнее всего, математик Ковалевская подарила идею, что жизнь человека в один кризисный момент может быть сопоставима с дифференциальным уравнением, предполагающим веер возможных решений, а Леффлер могла подсказать, что эти решения вполне реализуемы на сцене в виде двух вариантов событий. Но скорее всего, эти идеи рождались в общем творческом поле. </w:t>
      </w:r>
    </w:p>
    <w:p>
      <w:pPr>
        <w:ind w:firstLine="709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В итоге пьеса «Борьба за счастье» (1887) стала состоять из двух частей: «Как было» и «Как могло бы быть». Первая представляет собой реальное течение событий (так, как они мыслятся в реалистической парадигме), вторая – некий утопический вариант произошедшего с учетом того, что герои осознали свои ошибки и стали руководствоваться возможностью идеального мироустройства. На первый взгляд возникновение утопического предвидения не представляется оригинальным. Но оно-то и стало литературной иллюстрацией к математической теории вероятностей А. Пуанкаре. </w:t>
      </w:r>
    </w:p>
    <w:p>
      <w:pPr>
        <w:ind w:firstLine="709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Положив в основу пьесы математические знания и логику, Ковалевская со своим соавтором вышли на философский уровень и задались вопросами о выборе человеком своего пути, о свободе воле, о роли случайности в жизни. В решении проблемы выбора, как она предложена в пьесе, можно обнаружить сходство с некоторыми положениями философии С. Кьеркегору, хотя неизвестно, знакомы ли были писательницам его труды. Однако несомненно, что такие положения его философии, как: «выбор себя — это второе рождение человека» и «выбор сам по себе имеет решающее значение для внутреннего содержания личности: делая выбор, она вся наполняется выбранным, если же она не выбирает, то чахнет и гибнет» [Гайденко: 156, 153, 154], реализуются в коллизии пьесы. Неправильный выбор приводит к гибели одного из героев пьесы Яльмара (в первой части), зато осуществив правильный выбор (что имеет место во второй части) герои драмы нашли себя, и «определили свой принцип веры, то есть отнеслись всерьез к собственным поступкам» [Гайденко: 153]. Точнее, выбрав одну возможность среди бесконечного числа возможностей или одну «ветвь» среди бесконечного числа ветвей, отходящих от «кривой линии», герои данной драмы осознали «свое вечное значение» [Гайденко: 155]. Незначительные изменения в характере главного героя Карла, как он нарисован в первой и во второй частях, чуть больше усилий, смелости, настойчивости, проявления собственной воли, готовности пойти наперекор мнению окружающих, позволили «Карлу 2» стать счастливым семьянином и облагодетельствовать коллектив рабочих своего завода. Собственно, во второй части мы находим подтверждение мысли Кьеркегора о том, что «выбор совершается волей человека» [Гайденко: 156], а не разумом. В то же время психологизация математической задачи, положенной в основу пьесы, позволила во второй части нарисовать иного Карла, у которого «все особенности его психического склада, темперамента, все его индивидуальные черты остаются теми же»[Гайденко: 158], и отличия от первого Карла столь «незначительны, что в обыкновенной жизни мы вряд ли бы отличили одного Карла от другого» [Ковалевская: 380] Но критический момент наступил, Рубикон пройден, и он, как и некоторые другие герои драмы, становится другим, воплощая новую личность. Иначе говоря, герои пьесы достигли возрождения актом выбора.</w:t>
      </w:r>
    </w:p>
    <w:p>
      <w:pPr>
        <w:ind w:firstLine="709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Но если в «Предисловии к драме», написанном Ковалевской, речь идет только о главном герое, то в самой пьесе внимание авторов в не меньшей степени распределено между героинями. В пьесе дано несколько женских образов. Драматурги удачно подключили женскую интуицию и чутье в решении поставленных вопросов, отчего особыми красками заиграли именно они. Самый важный среди других – образ Алисы, в который Ковалевская внесла много личного. Ковалевская и Леффлер предлагают свой вариант «новой женщины». Их Алиса оказывает решительное влияние на Карла, своего мужа, призывая его не подчиняться отсталым общественным требованиям. Отныне должны восторжествовать новые отношения хозяина и рабочих (Ковалевская находилась под влиянием социалистических идей). Именно поэтому пьеса заканчивается публичным обращением Алисы к рабочим. Но речь обрывается на самых первых словах. Следовательно, перед нами открытый финал.  </w:t>
      </w:r>
    </w:p>
    <w:p>
      <w:pPr>
        <w:ind w:firstLine="709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В предисловии Ковалевская упоминает о вере в чудеса, сравнивая с ними то напряжение, которое требуется от человека «в минуты роковые». Это позволяет увидеть во второй части пьесы черты средневекового миракля. Для мираклей характерны сложные пространственные построения, нелинейный хронотоп. В пьесе «Борьба за счастье» время раздваивается в определенной точке (это конец пролога) и начинает течь как бы в двух измерениях - реальном и альтернативном. Смешение реального и гипотетического пространства также создает новое пространство, где всё происходит нелинейно и непредсказуемо, все события друг с другом взаимосвязаны и образуют сети, а не параллельные линии. Раскрывается «веер» возможностей, как в теории Пуанкаре о дифференциальных уравнениях и в экспериментах квантовой механики. Все начинает напоминать мысленный эксперимент, получивший название «Кот Шрёдингера». В мираклях «быт настойчиво вторгался в таинство, обмирщляя его», и поэтому «смешение “земного” и “небесного”, а иногда и “адского”, порождает новое пространство», которое «обладает всеми признаками реальности» [Романова: 14]. Читая пьесу «как могло бы быть» мы одновременно присутствует как бы в двух измерениях: понимаем, что таких чудес перерождения не бывает, но одновременно хотим поверить в происходящие с героями изменения.</w:t>
      </w:r>
    </w:p>
    <w:p>
      <w:pPr>
        <w:ind w:firstLine="709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Итак, форму драмы можно считать поистине новаторской. Ведь раньше гипотетическое развитие событий в театре не практиковалась. Авторы в конце XIX в. попыталась изобразить на сцене гипотетический мир и динамические процессы, которые только начинали изучаться. Но в философском плане им удалось воспроизвести хаотичность мира и непредсказуемость будущего.</w:t>
      </w:r>
    </w:p>
    <w:p>
      <w:pPr>
        <w:ind w:firstLine="709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Список литературы:</w:t>
      </w:r>
    </w:p>
    <w:p>
      <w:pPr>
        <w:ind w:firstLine="709"/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ascii="Times New Roman Regular" w:hAnsi="Times New Roman Regular" w:cs="Times New Roman Regular"/>
          <w:sz w:val="24"/>
          <w:szCs w:val="24"/>
        </w:rPr>
        <w:t xml:space="preserve">Sigfridsson, Barbro. Review on &lt;Anne Charlotte Leffler and Modernist Drama: True Women and New Women on the Fin-de-Siècle Scandinavian Stage&gt; by Lynn R. Wilkinson. Modern Drama, Volume 57, Number 1, Spring 2014, pp. 136–138. </w:t>
      </w:r>
    </w:p>
    <w:p>
      <w:pPr>
        <w:ind w:firstLine="709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Гайденко П. П. Трагедия эстетизма: о миросозерцании Серена Киркегора. М., 1970. </w:t>
      </w:r>
    </w:p>
    <w:p>
      <w:pPr>
        <w:ind w:firstLine="709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Ковалевская С. В. Воспоминания. Повести. М., 1974.</w:t>
      </w:r>
    </w:p>
    <w:p>
      <w:pPr>
        <w:ind w:firstLine="709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Романова О. П. Средневековый французский миракль: проблемы жанра: автореф. дис. на соиск. уч. степени канд. искусствоведения. СПб., 2000.</w:t>
      </w:r>
    </w:p>
    <w:p>
      <w:pPr>
        <w:ind w:firstLine="709"/>
        <w:rPr>
          <w:rFonts w:ascii="Times New Roman Regular" w:hAnsi="Times New Roman Regular" w:cs="Times New Roman Regular"/>
          <w:sz w:val="24"/>
          <w:szCs w:val="24"/>
          <w:lang w:val="ru-RU"/>
        </w:rPr>
      </w:pPr>
    </w:p>
    <w:p>
      <w:pPr>
        <w:ind w:firstLine="709"/>
        <w:rPr>
          <w:rFonts w:ascii="Times New Roman Regular" w:hAnsi="Times New Roman Regular" w:cs="Times New Roman Regular"/>
          <w:sz w:val="24"/>
          <w:szCs w:val="24"/>
          <w:lang w:val="ru-RU"/>
        </w:rPr>
      </w:pPr>
    </w:p>
    <w:p>
      <w:pPr>
        <w:ind w:firstLine="709"/>
        <w:rPr>
          <w:rFonts w:ascii="Times New Roman Regular" w:hAnsi="Times New Roman Regular" w:cs="Times New Roman Regular"/>
          <w:sz w:val="24"/>
          <w:szCs w:val="24"/>
          <w:lang w:val="ru-RU"/>
        </w:rPr>
      </w:pPr>
    </w:p>
    <w:p>
      <w:pPr>
        <w:ind w:firstLine="709"/>
        <w:rPr>
          <w:rFonts w:ascii="Times New Roman Regular" w:hAnsi="Times New Roman Regular" w:cs="Times New Roman Regular"/>
          <w:sz w:val="24"/>
          <w:szCs w:val="24"/>
          <w:lang w:val="ru-RU"/>
        </w:rPr>
      </w:pPr>
    </w:p>
    <w:p>
      <w:pPr>
        <w:ind w:firstLine="709"/>
        <w:rPr>
          <w:rFonts w:ascii="Times New Roman Regular" w:hAnsi="Times New Roman Regular" w:cs="Times New Roman Regular"/>
          <w:sz w:val="24"/>
          <w:szCs w:val="24"/>
          <w:lang w:val="ru-RU"/>
        </w:rPr>
      </w:pPr>
    </w:p>
    <w:p>
      <w:pPr>
        <w:rPr>
          <w:rFonts w:ascii="Times New Roman Regular" w:hAnsi="Times New Roman Regular" w:cs="Times New Roman Regular"/>
          <w:sz w:val="24"/>
          <w:szCs w:val="24"/>
          <w:lang w:val="ru-RU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A810B"/>
    <w:rsid w:val="000C5116"/>
    <w:rsid w:val="001111B1"/>
    <w:rsid w:val="00136ACB"/>
    <w:rsid w:val="001E7E8D"/>
    <w:rsid w:val="00360509"/>
    <w:rsid w:val="0037100A"/>
    <w:rsid w:val="00505894"/>
    <w:rsid w:val="00527BB4"/>
    <w:rsid w:val="005636C5"/>
    <w:rsid w:val="005E2401"/>
    <w:rsid w:val="00624F17"/>
    <w:rsid w:val="00695D15"/>
    <w:rsid w:val="006D1E8E"/>
    <w:rsid w:val="00741C74"/>
    <w:rsid w:val="00771CC4"/>
    <w:rsid w:val="00917B04"/>
    <w:rsid w:val="00930BC7"/>
    <w:rsid w:val="009D683F"/>
    <w:rsid w:val="00B216D4"/>
    <w:rsid w:val="00B421B2"/>
    <w:rsid w:val="00B458FB"/>
    <w:rsid w:val="00CF2CFE"/>
    <w:rsid w:val="00D01F78"/>
    <w:rsid w:val="00E37D11"/>
    <w:rsid w:val="00F55648"/>
    <w:rsid w:val="00F57F97"/>
    <w:rsid w:val="00FC7F36"/>
    <w:rsid w:val="37FA810B"/>
    <w:rsid w:val="3DFFE786"/>
    <w:rsid w:val="3F5576FE"/>
    <w:rsid w:val="3FFB56BF"/>
    <w:rsid w:val="5FD3C17D"/>
    <w:rsid w:val="5FED9C3F"/>
    <w:rsid w:val="67BF04D8"/>
    <w:rsid w:val="6EDF8887"/>
    <w:rsid w:val="7B19D08B"/>
    <w:rsid w:val="7E591CAE"/>
    <w:rsid w:val="7FBB5608"/>
    <w:rsid w:val="7FEF5848"/>
    <w:rsid w:val="BE91B74B"/>
    <w:rsid w:val="BF7F5CAA"/>
    <w:rsid w:val="DF970825"/>
    <w:rsid w:val="DFFF57A4"/>
    <w:rsid w:val="F966269B"/>
    <w:rsid w:val="FB6FBA19"/>
    <w:rsid w:val="FE3E20AA"/>
    <w:rsid w:val="FEF98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pPr>
      <w:snapToGrid w:val="0"/>
      <w:jc w:val="left"/>
    </w:pPr>
    <w:rPr>
      <w:sz w:val="18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styleId="6">
    <w:name w:val="footnote reference"/>
    <w:basedOn w:val="4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1069</Words>
  <Characters>6810</Characters>
  <Lines>117</Lines>
  <Paragraphs>16</Paragraphs>
  <TotalTime>150</TotalTime>
  <ScaleCrop>false</ScaleCrop>
  <LinksUpToDate>false</LinksUpToDate>
  <CharactersWithSpaces>7863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2025-02-21T20:42:00Z</dcterms:created>
  <dc:creator>大发</dc:creator>
  <cp:lastModifiedBy>大发</cp:lastModifiedBy>
  <dcterms:modified xsi:type="dcterms:W3CDTF">2025-02-22T18:15:55Z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5AECEF52D86501742BEAB9679316B602_43</vt:lpwstr>
  </property>
</Properties>
</file>