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Фридрих фон Логау и Эразм Роттердамский: осознанное подражание или случайное сходство?</w:t>
      </w:r>
    </w:p>
    <w:p>
      <w:pPr>
        <w:pStyle w:val="Standard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Тухто Вера Евгеньевна</w:t>
      </w:r>
    </w:p>
    <w:p>
      <w:pPr>
        <w:pStyle w:val="Standard"/>
        <w:spacing w:lineRule="auto" w:line="24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                       М.В. Ломоносова, Москва, Россия</w:t>
      </w:r>
    </w:p>
    <w:p>
      <w:pPr>
        <w:pStyle w:val="Standard"/>
        <w:spacing w:lineRule="auto" w:line="24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664" w:leader="none"/>
        </w:tabs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Фридрих фон Логау —  немецкий поэт эпохи барокко, автор самого крупного сборника эпиграмм «Три тысячи немецких стихотворных изречений Соломона из Голау» («</w:t>
      </w:r>
      <w:r>
        <w:rPr>
          <w:rFonts w:ascii="Times New Roman" w:hAnsi="Times New Roman"/>
          <w:sz w:val="24"/>
          <w:szCs w:val="24"/>
          <w:lang w:val="en-US"/>
        </w:rPr>
        <w:t>Salomons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Golaw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Deutscher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Sinn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Getichter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Drey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Tausend</w:t>
      </w:r>
      <w:r>
        <w:rPr>
          <w:rFonts w:ascii="Times New Roman" w:hAnsi="Times New Roman"/>
          <w:sz w:val="24"/>
          <w:szCs w:val="24"/>
        </w:rPr>
        <w:t>», 1654), метко названного филологом-германистом М.А. Новожиловым «энциклопедией поэтических форм» [Новожилов: 184]. Обилие образцов фольклорных и классических  форм в книге эпиграмм свидетельствует о богатом литературном фоне поэта, из которого Фридрих фон Логау черпает как жанровые особенности, так и идейное наполнение. Второе представляется особенно интересным, если учитывать осведомлённость Логау в наследии античных (Лукиана, Марциала), средневековых, ренессансных (Себастиана Бранта, Эразма Роттердамского,  Вилибальда Пиркхеймера, Ульриха фон Гуттена) поэтов и писателей, а также современников (Опица, Флеминга, Грифиуса), что проявляется в системе аллюзий и заимствований.</w:t>
      </w:r>
    </w:p>
    <w:p>
      <w:pPr>
        <w:pStyle w:val="Standard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Традиционная классификация делит эпиграммы поэта на гномические, критические, сатирические, панегирические, игриво-гедонистические и духовные [Новожилов: 45]. Но, пожалуй, наиболее неоднозначны и потому интересны сатирические эпиграммы Логау. В них поэт наследует мотивы и образы, присущие европейской сатирической литературе эпохи Возрождения. Особенно много общего у Фридриха фон Логау с «Похвалой глупости» «короля гуманистов» Эразма Роттердамского — сатирическим энкомием на латинском языке и образцом европейской смеховой литературы.</w:t>
      </w:r>
    </w:p>
    <w:p>
      <w:pPr>
        <w:pStyle w:val="Standard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 представляется интересным ответить на вопрос: означает ли это сходство, что Логау осознанно продолжает традицию Эразма Роттердамского? Для этого обратимся к эпиграммам Фридриха фон Логау, идейно и тематически схожим с образами из «Похвалы глупости» Эразма Роттердамского или параллельным им.</w:t>
      </w:r>
    </w:p>
    <w:p>
      <w:pPr>
        <w:pStyle w:val="Standard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Во-первых, и Эразм Роттердамский, и Фридрих фон Логау изображают мир, как театр, в котором разыгрывается шутовское представление. Так, в эпиграмме «</w:t>
      </w:r>
      <w:r>
        <w:rPr>
          <w:rFonts w:ascii="Times New Roman" w:hAnsi="Times New Roman"/>
          <w:sz w:val="24"/>
          <w:szCs w:val="24"/>
          <w:lang w:val="en-US"/>
        </w:rPr>
        <w:t>Der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Welt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Comedien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Spiel</w:t>
      </w:r>
      <w:r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,5,37) раскрывается тема выступления шутов в «театре мира», что непосредственно связано с 1-ой главой «Похвалы глупости», где взошедшая на кафедру </w:t>
      </w:r>
      <w:r>
        <w:rPr>
          <w:rFonts w:ascii="Times New Roman" w:hAnsi="Times New Roman"/>
          <w:sz w:val="24"/>
          <w:szCs w:val="24"/>
          <w:lang w:val="en-US"/>
        </w:rPr>
        <w:t>Stultina</w:t>
      </w:r>
      <w:r>
        <w:rPr>
          <w:rFonts w:ascii="Times New Roman" w:hAnsi="Times New Roman"/>
          <w:sz w:val="24"/>
          <w:szCs w:val="24"/>
        </w:rPr>
        <w:t xml:space="preserve"> видит, как с её появлением лица людей сияют радостью, и слышен смех. </w:t>
      </w:r>
      <w:r>
        <w:rPr>
          <w:rFonts w:eastAsia="Times New Roman" w:cs="Times New Roman" w:ascii="Times New Roman" w:hAnsi="Times New Roman"/>
          <w:sz w:val="24"/>
          <w:szCs w:val="24"/>
        </w:rPr>
        <w:t>В 29-ой главе "Похвалы глупости" карнавальный образ маски достигает кульминации в своём развитии.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oria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говорит о необходимости скрывать свою сущность под личиной, что подтверждает примером: раб, играющий в пьесе роль порфироносного царя, испортит представление, сдёрнув с себя маску. «Verum eum errorem tollere, est fabulam omnem perturbare», - пишет Эразм («Устранить ложь - значит испортить всё представление») [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Erasmus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Desiderius: 104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]. В противовес этой идее, поэт Логау в эпиграмме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Der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Hornung</w:t>
      </w:r>
      <w:r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,10,32) резко порицает лицедейство мира, в котором каждый скрывает истинные чувства «под маской».</w:t>
      </w:r>
    </w:p>
    <w:p>
      <w:pPr>
        <w:pStyle w:val="Standard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Интересно, что принцип «развлекая, поучать», находит отражение как в «Похвале гупости», так и в эпиграммах Логау. Так, </w:t>
      </w:r>
      <w:r>
        <w:rPr>
          <w:rFonts w:eastAsia="Times New Roman" w:cs="Times New Roman" w:ascii="Times New Roman" w:hAnsi="Times New Roman"/>
          <w:sz w:val="24"/>
          <w:szCs w:val="24"/>
        </w:rPr>
        <w:t>в эпиграмме «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Spielende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Wahrheit</w:t>
      </w:r>
      <w:r>
        <w:rPr>
          <w:rFonts w:eastAsia="Times New Roman" w:cs="Times New Roman" w:ascii="Times New Roman" w:hAnsi="Times New Roman"/>
          <w:sz w:val="24"/>
          <w:szCs w:val="24"/>
        </w:rPr>
        <w:t>» (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III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,10,64) автор говорит о необходимости доверять правду лишь шутке и игре, что пересекается с общим пафосом «Похвалы глупости». </w:t>
      </w:r>
      <w:r>
        <w:rPr>
          <w:rFonts w:ascii="Times New Roman" w:hAnsi="Times New Roman"/>
          <w:sz w:val="24"/>
          <w:szCs w:val="24"/>
        </w:rPr>
        <w:t xml:space="preserve">Однако если у Эразма проповедником выступает </w:t>
      </w:r>
      <w:r>
        <w:rPr>
          <w:rFonts w:ascii="Times New Roman" w:hAnsi="Times New Roman"/>
          <w:sz w:val="24"/>
          <w:szCs w:val="24"/>
          <w:lang w:val="en-US"/>
        </w:rPr>
        <w:t>Moria</w:t>
      </w:r>
      <w:r>
        <w:rPr>
          <w:rFonts w:ascii="Times New Roman" w:hAnsi="Times New Roman"/>
          <w:sz w:val="24"/>
          <w:szCs w:val="24"/>
        </w:rPr>
        <w:t xml:space="preserve"> (Глупость), то у Логау наставляет и поучает Мудрость, о чём говорят как псевдоним автора (Соломон из Голау), отсылающий к еврейскому мудрецу из Ветхого Завета, так и заглавие, намекающее на количество изречений царя Соломона («И изрёк он три тысячи притчей...», 3-я книга Царств, 4:32).</w:t>
      </w:r>
    </w:p>
    <w:p>
      <w:pPr>
        <w:pStyle w:val="Standard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Во-вторых, тема амбивалентности глупости и мудрости раскрывается и у Эразма Роттердамского, и у Фридриха фон Логау. Так, в эпиграмме «Klugheit und Thorheit» (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II</w:t>
      </w:r>
      <w:r>
        <w:rPr>
          <w:rFonts w:eastAsia="Times New Roman" w:cs="Times New Roman" w:ascii="Times New Roman" w:hAnsi="Times New Roman"/>
          <w:sz w:val="24"/>
          <w:szCs w:val="24"/>
        </w:rPr>
        <w:t>, 77) образы доктора и глупца строятся на антитезе. Дурак, в отличие от врача, становится истинным целителем для каждого человека. Схожая идея о пользе дурачества и вреде ума ранее высказывалась Эразмом в 14-ой главе "Похвалы глупости", где Moria говорит о том, что благодаря ей глупцы счастливы и здоровы, в то время как мудрецы, сидя за книгами, только стареют и становятся несчастными.</w:t>
      </w:r>
    </w:p>
    <w:p>
      <w:pPr>
        <w:pStyle w:val="Standard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В-третьих, мотив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сопоставления старости и молодости не менее важен как для Фридриха фон Логау, так и для Эразма Роттердамского. Эпиграмма Логау «Das menschliche Alter» (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II</w:t>
      </w:r>
      <w:r>
        <w:rPr>
          <w:rFonts w:eastAsia="Times New Roman" w:cs="Times New Roman" w:ascii="Times New Roman" w:hAnsi="Times New Roman"/>
          <w:sz w:val="24"/>
          <w:szCs w:val="24"/>
        </w:rPr>
        <w:t>,27) затрагивает тему цикличности жизни и двойственности начала жизни и склона лет. Амбивалентность детства и старости находит своё отражение и в 13-ой главе "Похвалы глупости", где Moria доказывает внешнюю и внутреннюю схожесть маленьких детей и "впавших во второе детство" стариков. Глупость приводит всем известный факт: маленькие дети тянутся к старикам, а старики очень любят детей, ведь "сходные вещи сближать привыкли великие боги" [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Erasmus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Desiderius: 84</w:t>
      </w:r>
      <w:r>
        <w:rPr>
          <w:rFonts w:eastAsia="Times New Roman" w:cs="Times New Roman" w:ascii="Times New Roman" w:hAnsi="Times New Roman"/>
          <w:sz w:val="24"/>
          <w:szCs w:val="24"/>
        </w:rPr>
        <w:t>].</w:t>
      </w:r>
    </w:p>
    <w:p>
      <w:pPr>
        <w:pStyle w:val="Standard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Таким образом, кажется вероятным, что Фридрих фон Логау осознанно опирается в некоторых эпиграммах на конкретные места из «Похвалы глупости». Однако основная цель Логау — жёсткая критика и порицание мира, нередко в притчевой форме, - лишь частично совпадает с замыслом Эразма, гномический пафос сочинения которого играет не столь важную роль. Следует обратить внимание на различие в образе «говорящего». В «Похвале глупости» автор отождествляет себя с глупцом, в то время как автор эпиграмм «возвышается» над порицаемым им обществом, не теряя амплуа мудреца. Всё это ограничивает только что сделанное утверждение: несмотря на сходство на уровне мотивов и образов, сборник «Три тысячи немецких стихотворных изречений Соломона из Голау» лишь отчасти продолжает традицию самого известного произведения Эразма Роттердамского.   </w:t>
      </w:r>
    </w:p>
    <w:p>
      <w:pPr>
        <w:pStyle w:val="Standard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Литература</w:t>
      </w:r>
    </w:p>
    <w:p>
      <w:pPr>
        <w:pStyle w:val="Standard"/>
        <w:numPr>
          <w:ilvl w:val="0"/>
          <w:numId w:val="4"/>
        </w:numPr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Новожилов М.А. Поэзия Фридриха фон Логау как явление немецкой эпиграмматики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XVII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столетия. М., 2008.</w:t>
      </w:r>
    </w:p>
    <w:p>
      <w:pPr>
        <w:pStyle w:val="Standard"/>
        <w:numPr>
          <w:ilvl w:val="0"/>
          <w:numId w:val="5"/>
        </w:numPr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141413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141413"/>
          <w:sz w:val="24"/>
          <w:szCs w:val="24"/>
          <w:lang w:val="en-US"/>
        </w:rPr>
        <w:t>rasmus Desiderius</w:t>
      </w:r>
      <w:r>
        <w:rPr>
          <w:rFonts w:eastAsia="Times New Roman" w:cs="Times New Roman" w:ascii="Times New Roman" w:hAnsi="Times New Roman"/>
          <w:color w:val="141413"/>
          <w:sz w:val="24"/>
          <w:szCs w:val="24"/>
        </w:rPr>
        <w:t>. Moriae</w:t>
      </w:r>
      <w:r>
        <w:rPr>
          <w:rFonts w:eastAsia="Times New Roman" w:cs="Times New Roman" w:ascii="Times New Roman" w:hAnsi="Times New Roman"/>
          <w:color w:val="141413"/>
          <w:sz w:val="24"/>
          <w:szCs w:val="24"/>
          <w:lang w:val="en-US"/>
        </w:rPr>
        <w:t xml:space="preserve"> Encomium id est Stultiae Laus, Erasmi Roterodami declamatio // Opera omnia Desiderii Erasmi Roterodami recognita et adnotatione critica instructa notisque illustrata. Saint Louis, 1979.</w:t>
      </w:r>
      <w:r>
        <w:rPr>
          <w:rFonts w:eastAsia="Times New Roman" w:cs="Times New Roman" w:ascii="Times New Roman" w:hAnsi="Times New Roman"/>
          <w:color w:val="141413"/>
          <w:sz w:val="24"/>
          <w:szCs w:val="24"/>
        </w:rPr>
        <w:t xml:space="preserve"> Vol</w:t>
      </w:r>
      <w:r>
        <w:rPr>
          <w:rFonts w:eastAsia="Times New Roman" w:cs="Times New Roman" w:ascii="Times New Roman" w:hAnsi="Times New Roman"/>
          <w:color w:val="141413"/>
          <w:sz w:val="24"/>
          <w:szCs w:val="24"/>
          <w:lang w:val="en-US"/>
        </w:rPr>
        <w:t xml:space="preserve">. </w:t>
      </w:r>
      <w:r>
        <w:rPr>
          <w:rFonts w:eastAsia="Times New Roman" w:cs="Times New Roman" w:ascii="Times New Roman" w:hAnsi="Times New Roman"/>
          <w:color w:val="141413"/>
          <w:sz w:val="24"/>
          <w:szCs w:val="24"/>
        </w:rPr>
        <w:t xml:space="preserve">3  </w:t>
      </w:r>
      <w:r>
        <w:rPr>
          <w:rFonts w:eastAsia="Times New Roman" w:cs="Times New Roman" w:ascii="Times New Roman" w:hAnsi="Times New Roman"/>
          <w:color w:val="141413"/>
          <w:sz w:val="24"/>
          <w:szCs w:val="24"/>
          <w:lang w:val="en-US"/>
        </w:rPr>
        <w:t>P. 67 – 197.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andard"/>
    <w:next w:val="Standard"/>
    <w:qFormat/>
    <w:pPr>
      <w:keepNext w:val="true"/>
      <w:keepLines/>
      <w:spacing w:before="240" w:after="0"/>
      <w:jc w:val="center"/>
      <w:outlineLvl w:val="0"/>
    </w:pPr>
    <w:rPr>
      <w:rFonts w:ascii="Times New Roman" w:hAnsi="Times New Roman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Pr>
      <w:rFonts w:ascii="Times New Roman" w:hAnsi="Times New Roman" w:eastAsia="Calibri" w:cs="Tahoma"/>
      <w:b/>
      <w:sz w:val="32"/>
      <w:szCs w:val="32"/>
    </w:rPr>
  </w:style>
  <w:style w:type="character" w:styleId="Style13" w:customStyle="1">
    <w:name w:val="Текст сноски Знак"/>
    <w:basedOn w:val="DefaultParagraphFont"/>
    <w:qFormat/>
    <w:rPr>
      <w:sz w:val="20"/>
      <w:szCs w:val="20"/>
    </w:rPr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ntstyle01" w:customStyle="1">
    <w:name w:val="fontstyle01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Style15" w:customStyle="1">
    <w:name w:val="Верхний колонтитул Знак"/>
    <w:basedOn w:val="DefaultParagraphFont"/>
    <w:qFormat/>
    <w:rPr/>
  </w:style>
  <w:style w:type="character" w:styleId="Style16" w:customStyle="1">
    <w:name w:val="Нижний колонтитул Знак"/>
    <w:basedOn w:val="DefaultParagraphFont"/>
    <w:qFormat/>
    <w:rPr/>
  </w:style>
  <w:style w:type="character" w:styleId="Style17" w:customStyle="1">
    <w:name w:val="Интернет-ссылка"/>
    <w:basedOn w:val="DefaultParagraphFont"/>
    <w:qFormat/>
    <w:rPr>
      <w:color w:val="0563C1"/>
      <w:u w:val="single"/>
    </w:rPr>
  </w:style>
  <w:style w:type="paragraph" w:styleId="Style18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Textbody"/>
    <w:pPr/>
    <w:rPr>
      <w:rFonts w:cs="Arial"/>
      <w:sz w:val="24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pPr>
      <w:suppressLineNumbers/>
    </w:pPr>
    <w:rPr>
      <w:rFonts w:cs="Arial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ootnote" w:customStyle="1">
    <w:name w:val="Foot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Style23" w:customStyle="1">
    <w:name w:val="Колонтитул"/>
    <w:basedOn w:val="Standard"/>
    <w:qFormat/>
    <w:pPr/>
    <w:rPr/>
  </w:style>
  <w:style w:type="paragraph" w:styleId="Style24">
    <w:name w:val="Header"/>
    <w:basedOn w:val="Standar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Standar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LibreOffice/7.3.1.3$Windows_X86_64 LibreOffice_project/a69ca51ded25f3eefd52d7bf9a5fad8c90b87951</Application>
  <AppVersion>15.0000</AppVersion>
  <DocSecurity>4</DocSecurity>
  <Pages>2</Pages>
  <Words>793</Words>
  <Characters>5123</Characters>
  <CharactersWithSpaces>5934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2025-02-26T14:13:00Z</dcterms:created>
  <dc:creator>Алла</dc:creator>
  <dc:description/>
  <dc:language>ru-RU</dc:language>
  <cp:lastModifiedBy/>
  <dcterms:modified xsi:type="dcterms:W3CDTF">2025-02-26T17:50:22Z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