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4754" w14:textId="1C876966" w:rsidR="00230B57" w:rsidRPr="00195C79" w:rsidRDefault="00230B57" w:rsidP="001236CC">
      <w:pPr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r w:rsidRPr="00195C79">
        <w:rPr>
          <w:rFonts w:ascii="Times New Roman" w:hAnsi="Times New Roman" w:cs="Times New Roman"/>
          <w:b/>
          <w:bCs/>
          <w:i/>
          <w:iCs/>
        </w:rPr>
        <w:t>«Буря» и «Зимняя сказка»</w:t>
      </w:r>
      <w:r w:rsidR="005B73A0">
        <w:rPr>
          <w:rFonts w:ascii="Times New Roman" w:hAnsi="Times New Roman" w:cs="Times New Roman"/>
          <w:b/>
          <w:bCs/>
          <w:i/>
          <w:iCs/>
        </w:rPr>
        <w:t xml:space="preserve"> У.</w:t>
      </w:r>
      <w:r w:rsidRPr="00195C79">
        <w:rPr>
          <w:rFonts w:ascii="Times New Roman" w:hAnsi="Times New Roman" w:cs="Times New Roman"/>
          <w:b/>
          <w:bCs/>
          <w:i/>
          <w:iCs/>
        </w:rPr>
        <w:t xml:space="preserve"> Шекспира как трагикомедии</w:t>
      </w:r>
    </w:p>
    <w:p w14:paraId="25E16962" w14:textId="544D920C" w:rsidR="00230B57" w:rsidRPr="00195C79" w:rsidRDefault="00230B57" w:rsidP="001236CC">
      <w:pPr>
        <w:contextualSpacing/>
        <w:jc w:val="center"/>
        <w:rPr>
          <w:rFonts w:ascii="Times New Roman" w:hAnsi="Times New Roman" w:cs="Times New Roman"/>
        </w:rPr>
      </w:pPr>
      <w:r w:rsidRPr="00195C79">
        <w:rPr>
          <w:rFonts w:ascii="Times New Roman" w:hAnsi="Times New Roman" w:cs="Times New Roman"/>
        </w:rPr>
        <w:t>Масальцева Аглая Матвеевна</w:t>
      </w:r>
    </w:p>
    <w:p w14:paraId="1420A0B1" w14:textId="42C15C8D" w:rsidR="001236CC" w:rsidRDefault="00F30419" w:rsidP="001236CC">
      <w:pPr>
        <w:contextualSpacing/>
        <w:jc w:val="center"/>
        <w:rPr>
          <w:rFonts w:ascii="Times New Roman" w:hAnsi="Times New Roman" w:cs="Times New Roman"/>
        </w:rPr>
      </w:pPr>
      <w:r w:rsidRPr="00195C79">
        <w:rPr>
          <w:rFonts w:ascii="Times New Roman" w:hAnsi="Times New Roman" w:cs="Times New Roman"/>
        </w:rPr>
        <w:t xml:space="preserve">студентка </w:t>
      </w:r>
      <w:r w:rsidR="001236CC">
        <w:rPr>
          <w:rFonts w:ascii="Times New Roman" w:hAnsi="Times New Roman" w:cs="Times New Roman"/>
        </w:rPr>
        <w:t>Московского государственного университета</w:t>
      </w:r>
      <w:r w:rsidR="00230B57" w:rsidRPr="00195C79">
        <w:rPr>
          <w:rFonts w:ascii="Times New Roman" w:hAnsi="Times New Roman" w:cs="Times New Roman"/>
        </w:rPr>
        <w:t xml:space="preserve"> им</w:t>
      </w:r>
      <w:r w:rsidR="001236CC">
        <w:rPr>
          <w:rFonts w:ascii="Times New Roman" w:hAnsi="Times New Roman" w:cs="Times New Roman"/>
        </w:rPr>
        <w:t>ени М. В.</w:t>
      </w:r>
      <w:r w:rsidR="00230B57" w:rsidRPr="00195C79">
        <w:rPr>
          <w:rFonts w:ascii="Times New Roman" w:hAnsi="Times New Roman" w:cs="Times New Roman"/>
        </w:rPr>
        <w:t xml:space="preserve"> Ломоносова</w:t>
      </w:r>
      <w:r w:rsidR="001236CC">
        <w:rPr>
          <w:rFonts w:ascii="Times New Roman" w:hAnsi="Times New Roman" w:cs="Times New Roman"/>
        </w:rPr>
        <w:t>,</w:t>
      </w:r>
    </w:p>
    <w:p w14:paraId="2065BDE3" w14:textId="203B0AF8" w:rsidR="00230B57" w:rsidRPr="00195C79" w:rsidRDefault="00230B57" w:rsidP="001236CC">
      <w:pPr>
        <w:contextualSpacing/>
        <w:jc w:val="center"/>
        <w:rPr>
          <w:rFonts w:ascii="Times New Roman" w:hAnsi="Times New Roman" w:cs="Times New Roman"/>
        </w:rPr>
      </w:pPr>
      <w:r w:rsidRPr="00195C79">
        <w:rPr>
          <w:rFonts w:ascii="Times New Roman" w:hAnsi="Times New Roman" w:cs="Times New Roman"/>
        </w:rPr>
        <w:t>Москва, Россия</w:t>
      </w:r>
    </w:p>
    <w:p w14:paraId="67B27B29" w14:textId="588D087E" w:rsidR="00230B57" w:rsidRPr="00195C79" w:rsidRDefault="00230B57" w:rsidP="00277EEF">
      <w:pPr>
        <w:contextualSpacing/>
        <w:jc w:val="both"/>
        <w:rPr>
          <w:rFonts w:ascii="Times New Roman" w:hAnsi="Times New Roman" w:cs="Times New Roman"/>
        </w:rPr>
      </w:pPr>
    </w:p>
    <w:p w14:paraId="4FE10A8B" w14:textId="2A311470" w:rsidR="007515E4" w:rsidRPr="00195C79" w:rsidRDefault="007515E4" w:rsidP="00277EEF">
      <w:pPr>
        <w:pStyle w:val="a4"/>
        <w:spacing w:before="69"/>
        <w:ind w:left="0" w:right="106" w:firstLine="708"/>
        <w:contextualSpacing/>
        <w:jc w:val="both"/>
        <w:rPr>
          <w:sz w:val="24"/>
          <w:szCs w:val="24"/>
        </w:rPr>
      </w:pPr>
      <w:r w:rsidRPr="00195C79">
        <w:rPr>
          <w:b/>
          <w:bCs/>
          <w:sz w:val="24"/>
          <w:szCs w:val="24"/>
        </w:rPr>
        <w:t>1.</w:t>
      </w:r>
      <w:r w:rsidRPr="00195C79">
        <w:rPr>
          <w:sz w:val="24"/>
          <w:szCs w:val="24"/>
        </w:rPr>
        <w:t xml:space="preserve"> При попытке классифицировать пьесы Шекспира особенно остро встает «жанровый вопрос». Некоторое несоответствие — а, точнее, условность, к которой приходится прибегать — пьесы и жанра, ее определяющего, прослеживается уже в  первом. Г. </w:t>
      </w:r>
      <w:proofErr w:type="spellStart"/>
      <w:r w:rsidRPr="00195C79">
        <w:rPr>
          <w:sz w:val="24"/>
          <w:szCs w:val="24"/>
        </w:rPr>
        <w:t>Кондел</w:t>
      </w:r>
      <w:proofErr w:type="spellEnd"/>
      <w:r w:rsidRPr="00195C79">
        <w:rPr>
          <w:sz w:val="24"/>
          <w:szCs w:val="24"/>
        </w:rPr>
        <w:t xml:space="preserve"> и Дж. </w:t>
      </w:r>
      <w:proofErr w:type="spellStart"/>
      <w:r w:rsidRPr="00195C79">
        <w:rPr>
          <w:sz w:val="24"/>
          <w:szCs w:val="24"/>
        </w:rPr>
        <w:t>Хэминг</w:t>
      </w:r>
      <w:proofErr w:type="spellEnd"/>
      <w:r w:rsidRPr="00195C79">
        <w:rPr>
          <w:sz w:val="24"/>
          <w:szCs w:val="24"/>
        </w:rPr>
        <w:t xml:space="preserve"> заложили  основы восприятия пьес с точки зрения жанровой классификации в последующие века, классификации, обладающей известным авторитетом — перед нами определения, данные драматургом и подтвержденные его труппой.</w:t>
      </w:r>
    </w:p>
    <w:p w14:paraId="122DB56E" w14:textId="77777777" w:rsidR="00195C79" w:rsidRPr="00195C79" w:rsidRDefault="007515E4" w:rsidP="00195C79">
      <w:pPr>
        <w:pStyle w:val="a4"/>
        <w:spacing w:before="69"/>
        <w:ind w:left="0" w:right="106" w:firstLine="708"/>
        <w:contextualSpacing/>
        <w:jc w:val="both"/>
        <w:rPr>
          <w:sz w:val="24"/>
          <w:szCs w:val="24"/>
        </w:rPr>
      </w:pPr>
      <w:r w:rsidRPr="00195C79">
        <w:rPr>
          <w:sz w:val="24"/>
          <w:szCs w:val="24"/>
        </w:rPr>
        <w:t>Многие пьесы при этом в жанровую систему не вписываются: открывается Фолио корпусом комедий, примечательно, что первой в списке оказывается «Буря», пьеса, вокруг жанрового определения которой до сих пор ведутся дискуссии, а завершается — не менее противоречивой «Зимней сказкой». С точки зрения современного шекспироведения ясно одно: комедией «Бурю», как и «Зимнюю сказку», можно назвать лишь с большой натяжкой. Вопрос о том, почему  «Буря»  среди    комедий    занимает    первое,    по логике</w:t>
      </w:r>
      <w:r w:rsidR="00E932DF" w:rsidRPr="00195C79">
        <w:rPr>
          <w:sz w:val="24"/>
          <w:szCs w:val="24"/>
        </w:rPr>
        <w:t>,</w:t>
      </w:r>
      <w:r w:rsidRPr="00195C79">
        <w:rPr>
          <w:sz w:val="24"/>
          <w:szCs w:val="24"/>
        </w:rPr>
        <w:t xml:space="preserve"> «направляющее» место, напрашивается сам собой. Поздние пьесы, помещенные редакторами Фолио в комический раздел, разными исследователями классифицируются по-разному.</w:t>
      </w:r>
      <w:r w:rsidR="00E932DF" w:rsidRPr="00195C79">
        <w:rPr>
          <w:sz w:val="24"/>
          <w:szCs w:val="24"/>
        </w:rPr>
        <w:t xml:space="preserve"> </w:t>
      </w:r>
      <w:r w:rsidRPr="00195C79">
        <w:rPr>
          <w:sz w:val="24"/>
          <w:szCs w:val="24"/>
        </w:rPr>
        <w:t xml:space="preserve">Среди наиболее близких нам трактовок — определения, предложенные Барбарой Моуэт и Лоренсом Дэнсоном, указывающие на трагикомическую основу пьес. </w:t>
      </w:r>
    </w:p>
    <w:p w14:paraId="551960B8" w14:textId="7BA63537" w:rsidR="00195C79" w:rsidRDefault="007515E4" w:rsidP="00195C79">
      <w:pPr>
        <w:pStyle w:val="a4"/>
        <w:spacing w:before="69"/>
        <w:ind w:left="0" w:right="106" w:firstLine="708"/>
        <w:contextualSpacing/>
        <w:jc w:val="both"/>
        <w:rPr>
          <w:sz w:val="24"/>
          <w:szCs w:val="24"/>
        </w:rPr>
      </w:pPr>
      <w:r w:rsidRPr="00195C79">
        <w:rPr>
          <w:b/>
          <w:bCs/>
          <w:sz w:val="24"/>
          <w:szCs w:val="24"/>
        </w:rPr>
        <w:t>2.</w:t>
      </w:r>
      <w:r w:rsidRPr="00195C79">
        <w:rPr>
          <w:sz w:val="24"/>
          <w:szCs w:val="24"/>
        </w:rPr>
        <w:t xml:space="preserve"> Одним из первых к </w:t>
      </w:r>
      <w:r w:rsidR="00E932DF" w:rsidRPr="00195C79">
        <w:rPr>
          <w:sz w:val="24"/>
          <w:szCs w:val="24"/>
        </w:rPr>
        <w:t>анализу жанра трагикомедии</w:t>
      </w:r>
      <w:r w:rsidRPr="00195C79">
        <w:rPr>
          <w:sz w:val="24"/>
          <w:szCs w:val="24"/>
        </w:rPr>
        <w:t xml:space="preserve"> </w:t>
      </w:r>
      <w:r w:rsidR="001236CC">
        <w:rPr>
          <w:sz w:val="24"/>
          <w:szCs w:val="24"/>
        </w:rPr>
        <w:t xml:space="preserve">обращается </w:t>
      </w:r>
      <w:r w:rsidRPr="00195C79">
        <w:rPr>
          <w:sz w:val="24"/>
          <w:szCs w:val="24"/>
        </w:rPr>
        <w:t>Джамбаттиста Гварини</w:t>
      </w:r>
      <w:r w:rsidR="00277EEF" w:rsidRPr="00195C79">
        <w:rPr>
          <w:sz w:val="24"/>
          <w:szCs w:val="24"/>
        </w:rPr>
        <w:t xml:space="preserve"> [</w:t>
      </w:r>
      <w:r w:rsidR="00277EEF" w:rsidRPr="00195C79">
        <w:rPr>
          <w:sz w:val="24"/>
          <w:szCs w:val="24"/>
          <w:lang w:val="en-US"/>
        </w:rPr>
        <w:t>Guarini</w:t>
      </w:r>
      <w:r w:rsidR="00277EEF" w:rsidRPr="00195C79">
        <w:rPr>
          <w:sz w:val="24"/>
          <w:szCs w:val="24"/>
        </w:rPr>
        <w:t>]</w:t>
      </w:r>
      <w:r w:rsidRPr="00195C79">
        <w:rPr>
          <w:sz w:val="24"/>
          <w:szCs w:val="24"/>
        </w:rPr>
        <w:t xml:space="preserve">, чей </w:t>
      </w:r>
      <w:r w:rsidR="00E932DF" w:rsidRPr="00195C79">
        <w:rPr>
          <w:sz w:val="24"/>
          <w:szCs w:val="24"/>
        </w:rPr>
        <w:t xml:space="preserve">комментарий </w:t>
      </w:r>
      <w:r w:rsidRPr="00195C79">
        <w:rPr>
          <w:sz w:val="24"/>
          <w:szCs w:val="24"/>
        </w:rPr>
        <w:t xml:space="preserve">резко выделяется на фоне классических рассуждений Сидни и Скотта. По мысли Гварини, трагикомедия приносит зрителю наслаждение от подражания трагическому, которое, может, и не осуществляется по-настоящему, но </w:t>
      </w:r>
      <w:r w:rsidR="00E932DF" w:rsidRPr="00195C79">
        <w:rPr>
          <w:sz w:val="24"/>
          <w:szCs w:val="24"/>
        </w:rPr>
        <w:t xml:space="preserve">потенциально </w:t>
      </w:r>
      <w:r w:rsidRPr="00195C79">
        <w:rPr>
          <w:sz w:val="24"/>
          <w:szCs w:val="24"/>
        </w:rPr>
        <w:t>трагично. Комментируя Гварини, Стивен Гринблат</w:t>
      </w:r>
      <w:r w:rsidR="00195C79" w:rsidRPr="00195C79">
        <w:rPr>
          <w:sz w:val="24"/>
          <w:szCs w:val="24"/>
        </w:rPr>
        <w:t xml:space="preserve"> </w:t>
      </w:r>
      <w:r w:rsidR="00195C79" w:rsidRPr="00195C79">
        <w:rPr>
          <w:sz w:val="24"/>
          <w:szCs w:val="24"/>
          <w:lang w:val="en-US"/>
        </w:rPr>
        <w:t>Greenblatt</w:t>
      </w:r>
      <w:r w:rsidR="00195C79" w:rsidRPr="00195C79">
        <w:rPr>
          <w:sz w:val="24"/>
          <w:szCs w:val="24"/>
        </w:rPr>
        <w:t>,</w:t>
      </w:r>
      <w:r w:rsidR="00195C79" w:rsidRPr="00195C79">
        <w:rPr>
          <w:spacing w:val="-2"/>
          <w:sz w:val="24"/>
          <w:szCs w:val="24"/>
        </w:rPr>
        <w:t xml:space="preserve"> [</w:t>
      </w:r>
      <w:r w:rsidR="00195C79" w:rsidRPr="00195C79">
        <w:rPr>
          <w:sz w:val="24"/>
          <w:szCs w:val="24"/>
          <w:lang w:val="en-US"/>
        </w:rPr>
        <w:t>Greenblatt</w:t>
      </w:r>
      <w:r w:rsidR="001236CC">
        <w:rPr>
          <w:sz w:val="24"/>
          <w:szCs w:val="24"/>
        </w:rPr>
        <w:t>:</w:t>
      </w:r>
      <w:r w:rsidR="00195C79" w:rsidRPr="00195C79">
        <w:rPr>
          <w:spacing w:val="-1"/>
          <w:sz w:val="24"/>
          <w:szCs w:val="24"/>
        </w:rPr>
        <w:t xml:space="preserve"> </w:t>
      </w:r>
      <w:r w:rsidR="00195C79" w:rsidRPr="00195C79">
        <w:rPr>
          <w:sz w:val="24"/>
          <w:szCs w:val="24"/>
        </w:rPr>
        <w:t xml:space="preserve">271] </w:t>
      </w:r>
      <w:r w:rsidRPr="00195C79">
        <w:rPr>
          <w:sz w:val="24"/>
          <w:szCs w:val="24"/>
        </w:rPr>
        <w:t xml:space="preserve">добавит: «Каждый из жанров присутствует по возможности, однако ни один не реализован в полной мере», в этом </w:t>
      </w:r>
      <w:r w:rsidR="0025486C" w:rsidRPr="00195C79">
        <w:rPr>
          <w:sz w:val="24"/>
          <w:szCs w:val="24"/>
        </w:rPr>
        <w:t>—</w:t>
      </w:r>
      <w:r w:rsidRPr="00195C79">
        <w:rPr>
          <w:sz w:val="24"/>
          <w:szCs w:val="24"/>
        </w:rPr>
        <w:t xml:space="preserve"> </w:t>
      </w:r>
      <w:r w:rsidRPr="00195C79">
        <w:rPr>
          <w:i/>
          <w:iCs/>
          <w:sz w:val="24"/>
          <w:szCs w:val="24"/>
          <w:lang w:val="en-US"/>
        </w:rPr>
        <w:t>mixed</w:t>
      </w:r>
      <w:r w:rsidRPr="00195C79">
        <w:rPr>
          <w:i/>
          <w:iCs/>
          <w:sz w:val="24"/>
          <w:szCs w:val="24"/>
        </w:rPr>
        <w:t xml:space="preserve"> </w:t>
      </w:r>
      <w:r w:rsidRPr="00195C79">
        <w:rPr>
          <w:i/>
          <w:iCs/>
          <w:sz w:val="24"/>
          <w:szCs w:val="24"/>
          <w:lang w:val="en-US"/>
        </w:rPr>
        <w:t>mode</w:t>
      </w:r>
      <w:r w:rsidRPr="00195C79">
        <w:rPr>
          <w:sz w:val="24"/>
          <w:szCs w:val="24"/>
        </w:rPr>
        <w:t xml:space="preserve">, гибрид, сосуществование разнородных элементов, что мы обнаружим в поздних шекспировских пьесах. </w:t>
      </w:r>
    </w:p>
    <w:p w14:paraId="5C08FB64" w14:textId="541BB711" w:rsidR="0025486C" w:rsidRPr="00195C79" w:rsidRDefault="0025486C" w:rsidP="00195C79">
      <w:pPr>
        <w:pStyle w:val="a4"/>
        <w:spacing w:before="69"/>
        <w:ind w:left="0" w:right="106" w:firstLine="708"/>
        <w:contextualSpacing/>
        <w:jc w:val="both"/>
        <w:rPr>
          <w:sz w:val="24"/>
          <w:szCs w:val="24"/>
        </w:rPr>
      </w:pPr>
      <w:r w:rsidRPr="00195C79">
        <w:rPr>
          <w:b/>
          <w:bCs/>
          <w:sz w:val="24"/>
          <w:szCs w:val="24"/>
        </w:rPr>
        <w:t>3.</w:t>
      </w:r>
      <w:r w:rsidRPr="00195C79">
        <w:rPr>
          <w:sz w:val="24"/>
          <w:szCs w:val="24"/>
        </w:rPr>
        <w:t xml:space="preserve"> П</w:t>
      </w:r>
      <w:r w:rsidR="007515E4" w:rsidRPr="00195C79">
        <w:rPr>
          <w:sz w:val="24"/>
          <w:szCs w:val="24"/>
        </w:rPr>
        <w:t xml:space="preserve">о наблюдениям </w:t>
      </w:r>
      <w:r w:rsidRPr="00195C79">
        <w:rPr>
          <w:sz w:val="24"/>
          <w:szCs w:val="24"/>
        </w:rPr>
        <w:t xml:space="preserve">Фредерика </w:t>
      </w:r>
      <w:proofErr w:type="spellStart"/>
      <w:r w:rsidR="007515E4" w:rsidRPr="00195C79">
        <w:rPr>
          <w:sz w:val="24"/>
          <w:szCs w:val="24"/>
        </w:rPr>
        <w:t>Боаса</w:t>
      </w:r>
      <w:proofErr w:type="spellEnd"/>
      <w:r w:rsidR="00195C79" w:rsidRPr="00195C79">
        <w:rPr>
          <w:sz w:val="24"/>
          <w:szCs w:val="24"/>
        </w:rPr>
        <w:t xml:space="preserve"> [</w:t>
      </w:r>
      <w:r w:rsidR="00195C79" w:rsidRPr="00195C79">
        <w:rPr>
          <w:sz w:val="24"/>
          <w:szCs w:val="24"/>
          <w:lang w:val="en-US"/>
        </w:rPr>
        <w:t>Boas</w:t>
      </w:r>
      <w:r w:rsidR="001236CC">
        <w:rPr>
          <w:sz w:val="24"/>
          <w:szCs w:val="24"/>
        </w:rPr>
        <w:t xml:space="preserve">: </w:t>
      </w:r>
      <w:r w:rsidR="00195C79" w:rsidRPr="00195C79">
        <w:rPr>
          <w:sz w:val="24"/>
          <w:szCs w:val="24"/>
        </w:rPr>
        <w:t>347]</w:t>
      </w:r>
      <w:r w:rsidR="007515E4" w:rsidRPr="00195C79">
        <w:rPr>
          <w:sz w:val="24"/>
          <w:szCs w:val="24"/>
        </w:rPr>
        <w:t xml:space="preserve">, </w:t>
      </w:r>
      <w:r w:rsidRPr="00195C79">
        <w:rPr>
          <w:sz w:val="24"/>
          <w:szCs w:val="24"/>
        </w:rPr>
        <w:t xml:space="preserve">поздние, «мрачные», пьесы Шекспира, </w:t>
      </w:r>
      <w:r w:rsidR="007515E4" w:rsidRPr="00195C79">
        <w:rPr>
          <w:sz w:val="24"/>
          <w:szCs w:val="24"/>
        </w:rPr>
        <w:t>необычны по характеру и проблематике, их «нельзя строго назвать ни комедиями, ни трагедиями»</w:t>
      </w:r>
      <w:r w:rsidRPr="00195C79">
        <w:rPr>
          <w:sz w:val="24"/>
          <w:szCs w:val="24"/>
        </w:rPr>
        <w:t xml:space="preserve">, их развязка </w:t>
      </w:r>
      <w:r w:rsidR="007515E4" w:rsidRPr="00195C79">
        <w:rPr>
          <w:sz w:val="24"/>
          <w:szCs w:val="24"/>
        </w:rPr>
        <w:t xml:space="preserve">озадачивает; проблемы, лежащие в основе конфликта «исключают исход, который полностью бы их удовлетворил», разрешаются лишь технически. Ценность исследования </w:t>
      </w:r>
      <w:proofErr w:type="spellStart"/>
      <w:r w:rsidR="007515E4" w:rsidRPr="00195C79">
        <w:rPr>
          <w:sz w:val="24"/>
          <w:szCs w:val="24"/>
        </w:rPr>
        <w:t>Боаса</w:t>
      </w:r>
      <w:proofErr w:type="spellEnd"/>
      <w:r w:rsidR="007515E4" w:rsidRPr="00195C79">
        <w:rPr>
          <w:sz w:val="24"/>
          <w:szCs w:val="24"/>
        </w:rPr>
        <w:t xml:space="preserve"> в указании на несоответствие формы и содержания, которое в случае строгого следовании сложившемуся объективному жанровому канону определяется структурными особенностями конкретного жанра. В комедии трагический элемент появляется в завязке как двигатель сюжета и нивелируются в развязке. Комический финал </w:t>
      </w:r>
      <w:r w:rsidRPr="00195C79">
        <w:rPr>
          <w:sz w:val="24"/>
          <w:szCs w:val="24"/>
        </w:rPr>
        <w:t>—</w:t>
      </w:r>
      <w:r w:rsidR="007515E4" w:rsidRPr="00195C79">
        <w:rPr>
          <w:sz w:val="24"/>
          <w:szCs w:val="24"/>
        </w:rPr>
        <w:t xml:space="preserve"> финал счастливый, всеобщий, всепоглощающий, не оставляющий неразрешенных противоречий, трагического «осадка», способного повлиять на восприятие финала. </w:t>
      </w:r>
      <w:r w:rsidR="00855AF6" w:rsidRPr="00195C79">
        <w:rPr>
          <w:sz w:val="24"/>
          <w:szCs w:val="24"/>
        </w:rPr>
        <w:t>В интересующих нас комедиях,</w:t>
      </w:r>
      <w:r w:rsidR="007515E4" w:rsidRPr="00195C79">
        <w:rPr>
          <w:sz w:val="24"/>
          <w:szCs w:val="24"/>
        </w:rPr>
        <w:t xml:space="preserve"> как их определяет Фолио, подобного рода «гармонии» между жанровой структурой и семантическим наполнением нет, трагическое, проникающие в пространство комического, порой превалирует. Это дает основание некоторым исследователям говорить о свойственной Шекспиру как автору тенденции отходить от канона</w:t>
      </w:r>
      <w:r w:rsidRPr="00195C79">
        <w:rPr>
          <w:sz w:val="24"/>
          <w:szCs w:val="24"/>
        </w:rPr>
        <w:t xml:space="preserve">, </w:t>
      </w:r>
      <w:r w:rsidR="007515E4" w:rsidRPr="00195C79">
        <w:rPr>
          <w:sz w:val="24"/>
          <w:szCs w:val="24"/>
        </w:rPr>
        <w:t xml:space="preserve">представляя </w:t>
      </w:r>
      <w:r w:rsidRPr="00195C79">
        <w:rPr>
          <w:sz w:val="24"/>
          <w:szCs w:val="24"/>
        </w:rPr>
        <w:t>«</w:t>
      </w:r>
      <w:proofErr w:type="spellStart"/>
      <w:r w:rsidR="007515E4" w:rsidRPr="00195C79">
        <w:rPr>
          <w:sz w:val="24"/>
          <w:szCs w:val="24"/>
        </w:rPr>
        <w:t>гибридность</w:t>
      </w:r>
      <w:proofErr w:type="spellEnd"/>
      <w:r w:rsidRPr="00195C79">
        <w:rPr>
          <w:sz w:val="24"/>
          <w:szCs w:val="24"/>
        </w:rPr>
        <w:t>»</w:t>
      </w:r>
      <w:r w:rsidR="007515E4" w:rsidRPr="00195C79">
        <w:rPr>
          <w:sz w:val="24"/>
          <w:szCs w:val="24"/>
        </w:rPr>
        <w:t xml:space="preserve"> своеобразным приемом</w:t>
      </w:r>
      <w:r w:rsidRPr="00195C79">
        <w:rPr>
          <w:sz w:val="24"/>
          <w:szCs w:val="24"/>
        </w:rPr>
        <w:t xml:space="preserve">. </w:t>
      </w:r>
    </w:p>
    <w:p w14:paraId="5998D517" w14:textId="36971E78" w:rsidR="0025486C" w:rsidRPr="00195C79" w:rsidRDefault="0025486C" w:rsidP="00277EEF">
      <w:pPr>
        <w:pStyle w:val="a4"/>
        <w:spacing w:before="69"/>
        <w:ind w:left="0" w:right="106" w:firstLine="708"/>
        <w:contextualSpacing/>
        <w:jc w:val="both"/>
        <w:rPr>
          <w:sz w:val="24"/>
          <w:szCs w:val="24"/>
        </w:rPr>
      </w:pPr>
      <w:r w:rsidRPr="00195C79">
        <w:rPr>
          <w:b/>
          <w:bCs/>
          <w:sz w:val="24"/>
          <w:szCs w:val="24"/>
        </w:rPr>
        <w:t>4.</w:t>
      </w:r>
      <w:r w:rsidRPr="00195C79">
        <w:rPr>
          <w:sz w:val="24"/>
          <w:szCs w:val="24"/>
        </w:rPr>
        <w:t xml:space="preserve"> Сложность жанрового определения «Зимней сказки» и «Бури» определена нескончаемым, порой неожиданным, чередованием серьезных, трагических, и комических сцен. При этом подобное чередование </w:t>
      </w:r>
      <w:r w:rsidR="00EF69B3" w:rsidRPr="00195C79">
        <w:rPr>
          <w:sz w:val="24"/>
          <w:szCs w:val="24"/>
        </w:rPr>
        <w:t>—</w:t>
      </w:r>
      <w:r w:rsidRPr="00195C79">
        <w:rPr>
          <w:sz w:val="24"/>
          <w:szCs w:val="24"/>
        </w:rPr>
        <w:t xml:space="preserve"> не переключение режимов, но их сосуществование:  т</w:t>
      </w:r>
      <w:r w:rsidRPr="00195C79">
        <w:rPr>
          <w:sz w:val="24"/>
          <w:szCs w:val="24"/>
          <w:lang w:eastAsia="ru-RU"/>
        </w:rPr>
        <w:t xml:space="preserve">рагедия и комедия сохраняют свою присутствие на протяжении всего действия, создавая «полноту возможностей». </w:t>
      </w:r>
    </w:p>
    <w:p w14:paraId="344CF798" w14:textId="3ACEB03C" w:rsidR="00855AF6" w:rsidRPr="00195C79" w:rsidRDefault="0025486C" w:rsidP="00277EEF">
      <w:pPr>
        <w:pStyle w:val="a4"/>
        <w:spacing w:before="69"/>
        <w:ind w:left="0" w:right="106" w:firstLine="709"/>
        <w:contextualSpacing/>
        <w:jc w:val="both"/>
        <w:rPr>
          <w:sz w:val="24"/>
          <w:szCs w:val="24"/>
        </w:rPr>
      </w:pPr>
      <w:r w:rsidRPr="00195C79">
        <w:rPr>
          <w:sz w:val="24"/>
          <w:szCs w:val="24"/>
        </w:rPr>
        <w:t>Отталкиваясь от представления о трагикомедии как пространстве, в которому сосуществуют комические и трагические элементы, мы сперва взялись вычленить их из интересующих нас пьес отдельно, однако пришли к тому, что большинство значимых элементов (то есть способных повлиять как на зрительское восприятие пьес, так и на определениях их жанра) нельзя назвать ни трагическими, ни комическими в полной мере</w:t>
      </w:r>
      <w:r w:rsidR="00EF69B3" w:rsidRPr="00195C79">
        <w:rPr>
          <w:sz w:val="24"/>
          <w:szCs w:val="24"/>
        </w:rPr>
        <w:t>. В докладе рассмотрены примеры подобных элементов</w:t>
      </w:r>
      <w:r w:rsidR="00855AF6" w:rsidRPr="00195C79">
        <w:rPr>
          <w:sz w:val="24"/>
          <w:szCs w:val="24"/>
        </w:rPr>
        <w:t xml:space="preserve">, связанных со структурой, системой персонажей, </w:t>
      </w:r>
      <w:r w:rsidR="00855AF6" w:rsidRPr="00195C79">
        <w:rPr>
          <w:sz w:val="24"/>
          <w:szCs w:val="24"/>
          <w:lang w:val="en-US"/>
        </w:rPr>
        <w:t>etc</w:t>
      </w:r>
      <w:r w:rsidR="00855AF6" w:rsidRPr="00195C79">
        <w:rPr>
          <w:sz w:val="24"/>
          <w:szCs w:val="24"/>
        </w:rPr>
        <w:t xml:space="preserve">. </w:t>
      </w:r>
    </w:p>
    <w:p w14:paraId="6BF47CA6" w14:textId="48C0BD08" w:rsidR="0025486C" w:rsidRPr="00195C79" w:rsidRDefault="00855AF6" w:rsidP="00277EEF">
      <w:pPr>
        <w:pStyle w:val="a4"/>
        <w:spacing w:before="69"/>
        <w:ind w:left="0" w:right="106" w:firstLine="709"/>
        <w:contextualSpacing/>
        <w:jc w:val="both"/>
        <w:rPr>
          <w:sz w:val="24"/>
          <w:szCs w:val="24"/>
        </w:rPr>
      </w:pPr>
      <w:r w:rsidRPr="00195C79">
        <w:rPr>
          <w:b/>
          <w:bCs/>
          <w:sz w:val="24"/>
          <w:szCs w:val="24"/>
        </w:rPr>
        <w:t>5.</w:t>
      </w:r>
      <w:r w:rsidRPr="00195C79">
        <w:rPr>
          <w:sz w:val="24"/>
          <w:szCs w:val="24"/>
        </w:rPr>
        <w:t xml:space="preserve"> </w:t>
      </w:r>
      <w:r w:rsidR="00EF69B3" w:rsidRPr="00195C79">
        <w:rPr>
          <w:sz w:val="24"/>
          <w:szCs w:val="24"/>
        </w:rPr>
        <w:t xml:space="preserve">Отметим определенную тенденцию: </w:t>
      </w:r>
      <w:r w:rsidR="00277EEF" w:rsidRPr="00195C79">
        <w:rPr>
          <w:sz w:val="24"/>
          <w:szCs w:val="24"/>
        </w:rPr>
        <w:t xml:space="preserve">для большинства исследователей </w:t>
      </w:r>
      <w:r w:rsidR="00EF69B3" w:rsidRPr="00195C79">
        <w:rPr>
          <w:sz w:val="24"/>
          <w:szCs w:val="24"/>
        </w:rPr>
        <w:t>о</w:t>
      </w:r>
      <w:r w:rsidR="0025486C" w:rsidRPr="00195C79">
        <w:rPr>
          <w:sz w:val="24"/>
          <w:szCs w:val="24"/>
        </w:rPr>
        <w:t xml:space="preserve">сновой для выявления </w:t>
      </w:r>
      <w:r w:rsidR="0025486C" w:rsidRPr="00195C79">
        <w:rPr>
          <w:i/>
          <w:iCs/>
          <w:sz w:val="24"/>
          <w:szCs w:val="24"/>
          <w:lang w:val="en-US"/>
        </w:rPr>
        <w:t>mixed</w:t>
      </w:r>
      <w:r w:rsidR="0025486C" w:rsidRPr="00195C79">
        <w:rPr>
          <w:i/>
          <w:iCs/>
          <w:sz w:val="24"/>
          <w:szCs w:val="24"/>
        </w:rPr>
        <w:t xml:space="preserve"> </w:t>
      </w:r>
      <w:r w:rsidR="0025486C" w:rsidRPr="00195C79">
        <w:rPr>
          <w:i/>
          <w:iCs/>
          <w:sz w:val="24"/>
          <w:szCs w:val="24"/>
          <w:lang w:val="en-US"/>
        </w:rPr>
        <w:t>mode</w:t>
      </w:r>
      <w:r w:rsidR="0025486C" w:rsidRPr="00195C79">
        <w:rPr>
          <w:sz w:val="24"/>
          <w:szCs w:val="24"/>
        </w:rPr>
        <w:t xml:space="preserve"> </w:t>
      </w:r>
      <w:r w:rsidR="00277EEF" w:rsidRPr="00195C79">
        <w:rPr>
          <w:sz w:val="24"/>
          <w:szCs w:val="24"/>
        </w:rPr>
        <w:t>в той или иной шекспировской пьесе является</w:t>
      </w:r>
      <w:r w:rsidR="0025486C" w:rsidRPr="00195C79">
        <w:rPr>
          <w:sz w:val="24"/>
          <w:szCs w:val="24"/>
        </w:rPr>
        <w:t xml:space="preserve"> комическая неполнота, трагикомедией пьесы становятся как бы апофатически, через «</w:t>
      </w:r>
      <w:proofErr w:type="spellStart"/>
      <w:r w:rsidR="0025486C" w:rsidRPr="00195C79">
        <w:rPr>
          <w:sz w:val="24"/>
          <w:szCs w:val="24"/>
        </w:rPr>
        <w:t>некомическое</w:t>
      </w:r>
      <w:proofErr w:type="spellEnd"/>
      <w:r w:rsidR="0025486C" w:rsidRPr="00195C79">
        <w:rPr>
          <w:sz w:val="24"/>
          <w:szCs w:val="24"/>
        </w:rPr>
        <w:t xml:space="preserve">». </w:t>
      </w:r>
      <w:r w:rsidR="00277EEF" w:rsidRPr="00195C79">
        <w:rPr>
          <w:sz w:val="24"/>
          <w:szCs w:val="24"/>
        </w:rPr>
        <w:t>Мы полагаем</w:t>
      </w:r>
      <w:r w:rsidR="0025486C" w:rsidRPr="00195C79">
        <w:rPr>
          <w:sz w:val="24"/>
          <w:szCs w:val="24"/>
        </w:rPr>
        <w:t xml:space="preserve">, что на анализ «Зимней сказки» и «Бури» благотворно может повлиять интерпретация, </w:t>
      </w:r>
      <w:r w:rsidR="00EF69B3" w:rsidRPr="00195C79">
        <w:rPr>
          <w:sz w:val="24"/>
          <w:szCs w:val="24"/>
        </w:rPr>
        <w:t xml:space="preserve">изначально </w:t>
      </w:r>
      <w:r w:rsidR="0025486C" w:rsidRPr="00195C79">
        <w:rPr>
          <w:sz w:val="24"/>
          <w:szCs w:val="24"/>
        </w:rPr>
        <w:t xml:space="preserve">отталкивающаяся от их трагикомической природы. Определенная сложность, которая возникает в вопросе жанрового определения пьес Шекспира, возвращает нас к </w:t>
      </w:r>
      <w:r w:rsidR="00277EEF" w:rsidRPr="00195C79">
        <w:rPr>
          <w:sz w:val="24"/>
          <w:szCs w:val="24"/>
        </w:rPr>
        <w:t xml:space="preserve">первым тезисам </w:t>
      </w:r>
      <w:r w:rsidR="00EF69B3" w:rsidRPr="00195C79">
        <w:rPr>
          <w:sz w:val="24"/>
          <w:szCs w:val="24"/>
        </w:rPr>
        <w:t>—</w:t>
      </w:r>
      <w:r w:rsidR="0025486C" w:rsidRPr="00195C79">
        <w:rPr>
          <w:sz w:val="24"/>
          <w:szCs w:val="24"/>
        </w:rPr>
        <w:t xml:space="preserve"> авторитету Фолио. </w:t>
      </w:r>
    </w:p>
    <w:p w14:paraId="2520C1E3" w14:textId="74BADD1B" w:rsidR="00277EEF" w:rsidRPr="00195C79" w:rsidRDefault="00277EEF" w:rsidP="00277EEF">
      <w:pPr>
        <w:pStyle w:val="a4"/>
        <w:spacing w:before="69"/>
        <w:ind w:left="0" w:right="106" w:firstLine="709"/>
        <w:contextualSpacing/>
        <w:jc w:val="both"/>
        <w:rPr>
          <w:sz w:val="24"/>
          <w:szCs w:val="24"/>
        </w:rPr>
      </w:pPr>
    </w:p>
    <w:p w14:paraId="3FC14520" w14:textId="7485C140" w:rsidR="00277EEF" w:rsidRPr="00195C79" w:rsidRDefault="00277EEF" w:rsidP="00277EEF">
      <w:pPr>
        <w:pStyle w:val="a4"/>
        <w:spacing w:before="69"/>
        <w:ind w:left="0" w:right="106" w:firstLine="709"/>
        <w:contextualSpacing/>
        <w:jc w:val="both"/>
        <w:rPr>
          <w:sz w:val="24"/>
          <w:szCs w:val="24"/>
        </w:rPr>
      </w:pPr>
    </w:p>
    <w:p w14:paraId="635FB76C" w14:textId="083E3ECC" w:rsidR="00277EEF" w:rsidRPr="001236CC" w:rsidRDefault="00277EEF" w:rsidP="001236CC">
      <w:pPr>
        <w:pStyle w:val="a4"/>
        <w:spacing w:before="69"/>
        <w:ind w:right="106"/>
        <w:contextualSpacing/>
        <w:jc w:val="both"/>
        <w:rPr>
          <w:b/>
          <w:bCs/>
          <w:sz w:val="24"/>
          <w:szCs w:val="24"/>
        </w:rPr>
      </w:pPr>
      <w:r w:rsidRPr="00195C79">
        <w:rPr>
          <w:b/>
          <w:bCs/>
          <w:sz w:val="24"/>
          <w:szCs w:val="24"/>
        </w:rPr>
        <w:t xml:space="preserve">Литература: </w:t>
      </w:r>
    </w:p>
    <w:p w14:paraId="0F891AB1" w14:textId="5B49730D" w:rsidR="001236CC" w:rsidRPr="001236CC" w:rsidRDefault="001236CC" w:rsidP="001236CC">
      <w:pPr>
        <w:pStyle w:val="a3"/>
        <w:numPr>
          <w:ilvl w:val="0"/>
          <w:numId w:val="1"/>
        </w:numPr>
        <w:spacing w:before="82"/>
        <w:jc w:val="both"/>
        <w:rPr>
          <w:rFonts w:ascii="Times New Roman" w:hAnsi="Times New Roman" w:cs="Times New Roman"/>
          <w:lang w:val="en-US"/>
        </w:rPr>
      </w:pPr>
      <w:r w:rsidRPr="00195C79">
        <w:rPr>
          <w:rFonts w:ascii="Times New Roman" w:hAnsi="Times New Roman" w:cs="Times New Roman"/>
          <w:lang w:val="en-US"/>
        </w:rPr>
        <w:t>Boas,</w:t>
      </w:r>
      <w:r w:rsidRPr="00195C79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S.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Frederick.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Shakespeare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and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his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Predecessors.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N.Y.,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1900.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</w:p>
    <w:p w14:paraId="738D212A" w14:textId="77777777" w:rsidR="001236CC" w:rsidRPr="001236CC" w:rsidRDefault="001236CC" w:rsidP="00123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95C79">
        <w:rPr>
          <w:rFonts w:ascii="Times New Roman" w:hAnsi="Times New Roman" w:cs="Times New Roman"/>
          <w:lang w:val="en-US"/>
        </w:rPr>
        <w:t>Greenblatt,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S.</w:t>
      </w:r>
      <w:r w:rsidRPr="00195C79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J.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Sidney's</w:t>
      </w:r>
      <w:r w:rsidRPr="00195C79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Arcadia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and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the</w:t>
      </w:r>
      <w:r w:rsidRPr="00195C79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Mixed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Mode,</w:t>
      </w:r>
      <w:r w:rsidRPr="00195C79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195C79">
        <w:rPr>
          <w:rFonts w:ascii="Times New Roman" w:hAnsi="Times New Roman" w:cs="Times New Roman"/>
          <w:lang w:val="en-US"/>
        </w:rPr>
        <w:t>1973.</w:t>
      </w:r>
      <w:r w:rsidRPr="00195C79">
        <w:rPr>
          <w:rFonts w:ascii="Times New Roman" w:hAnsi="Times New Roman" w:cs="Times New Roman"/>
          <w:spacing w:val="-2"/>
          <w:lang w:val="en-US"/>
        </w:rPr>
        <w:t xml:space="preserve"> </w:t>
      </w:r>
    </w:p>
    <w:p w14:paraId="7A34F015" w14:textId="1DE4F4B9" w:rsidR="00277EEF" w:rsidRPr="001236CC" w:rsidRDefault="00277EEF" w:rsidP="00123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236CC">
        <w:rPr>
          <w:rFonts w:ascii="Times New Roman" w:hAnsi="Times New Roman" w:cs="Times New Roman"/>
          <w:lang w:val="en-US"/>
        </w:rPr>
        <w:t>Guarini,</w:t>
      </w:r>
      <w:r w:rsidRPr="001236CC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G.</w:t>
      </w:r>
      <w:r w:rsidRPr="001236CC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Compendium</w:t>
      </w:r>
      <w:r w:rsidRPr="001236CC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of</w:t>
      </w:r>
      <w:r w:rsidRPr="001236CC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Tragicomic</w:t>
      </w:r>
      <w:r w:rsidRPr="001236CC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Poetry</w:t>
      </w:r>
      <w:r w:rsidRPr="001236CC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(1601)</w:t>
      </w:r>
      <w:r w:rsidR="001236CC" w:rsidRPr="001236CC">
        <w:rPr>
          <w:rFonts w:ascii="Times New Roman" w:hAnsi="Times New Roman" w:cs="Times New Roman"/>
          <w:lang w:val="en-US"/>
        </w:rPr>
        <w:t xml:space="preserve"> // Literary Criticism. Plato to Dryden. /</w:t>
      </w:r>
      <w:r w:rsidRPr="001236CC">
        <w:rPr>
          <w:rFonts w:ascii="Times New Roman" w:hAnsi="Times New Roman" w:cs="Times New Roman"/>
          <w:lang w:val="en-US"/>
        </w:rPr>
        <w:t>Ed</w:t>
      </w:r>
      <w:r w:rsidR="001236CC" w:rsidRPr="001236CC">
        <w:rPr>
          <w:rFonts w:ascii="Times New Roman" w:hAnsi="Times New Roman" w:cs="Times New Roman"/>
          <w:lang w:val="en-US"/>
        </w:rPr>
        <w:t>.</w:t>
      </w:r>
      <w:r w:rsidRPr="001236CC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by</w:t>
      </w:r>
      <w:r w:rsidRPr="001236CC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Allan.</w:t>
      </w:r>
      <w:r w:rsidRPr="001236CC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H.</w:t>
      </w:r>
      <w:r w:rsidRPr="001236CC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1236CC">
        <w:rPr>
          <w:rFonts w:ascii="Times New Roman" w:hAnsi="Times New Roman" w:cs="Times New Roman"/>
          <w:lang w:val="en-US"/>
        </w:rPr>
        <w:t>Gilber</w:t>
      </w:r>
      <w:r w:rsidR="001236CC" w:rsidRPr="001236CC">
        <w:rPr>
          <w:rFonts w:ascii="Times New Roman" w:hAnsi="Times New Roman" w:cs="Times New Roman"/>
          <w:lang w:val="en-US"/>
        </w:rPr>
        <w:t>t. New York, 1940. P. 505</w:t>
      </w:r>
      <w:r w:rsidR="001236CC" w:rsidRPr="001236CC">
        <w:rPr>
          <w:rFonts w:ascii="Times New Roman" w:hAnsi="Times New Roman" w:cs="Times New Roman"/>
        </w:rPr>
        <w:t>—</w:t>
      </w:r>
      <w:r w:rsidR="001236CC" w:rsidRPr="001236CC">
        <w:rPr>
          <w:rFonts w:ascii="Times New Roman" w:hAnsi="Times New Roman" w:cs="Times New Roman"/>
          <w:lang w:val="en-US"/>
        </w:rPr>
        <w:t xml:space="preserve">533. </w:t>
      </w:r>
    </w:p>
    <w:p w14:paraId="078B27A6" w14:textId="77777777" w:rsidR="00277EEF" w:rsidRPr="00195C79" w:rsidRDefault="00277EEF" w:rsidP="00277EEF">
      <w:pPr>
        <w:pStyle w:val="a4"/>
        <w:spacing w:before="69"/>
        <w:ind w:right="106"/>
        <w:contextualSpacing/>
        <w:jc w:val="both"/>
        <w:rPr>
          <w:sz w:val="24"/>
          <w:szCs w:val="24"/>
          <w:lang w:val="en-US"/>
        </w:rPr>
      </w:pPr>
    </w:p>
    <w:p w14:paraId="5F5FDB0B" w14:textId="7B632875" w:rsidR="00EF69B3" w:rsidRPr="00195C79" w:rsidRDefault="00EF69B3" w:rsidP="00277EEF">
      <w:pPr>
        <w:pStyle w:val="a4"/>
        <w:spacing w:before="69"/>
        <w:ind w:left="0" w:right="106" w:firstLine="709"/>
        <w:contextualSpacing/>
        <w:jc w:val="both"/>
        <w:rPr>
          <w:sz w:val="24"/>
          <w:szCs w:val="24"/>
          <w:lang w:val="en-US"/>
        </w:rPr>
      </w:pPr>
    </w:p>
    <w:p w14:paraId="26140D30" w14:textId="6A4AA780" w:rsidR="00EF69B3" w:rsidRPr="00195C79" w:rsidRDefault="00EF69B3" w:rsidP="00277EEF">
      <w:pPr>
        <w:pStyle w:val="a4"/>
        <w:spacing w:before="69"/>
        <w:ind w:left="0" w:right="106" w:firstLine="709"/>
        <w:contextualSpacing/>
        <w:jc w:val="both"/>
        <w:rPr>
          <w:sz w:val="24"/>
          <w:szCs w:val="24"/>
          <w:lang w:val="en-US"/>
        </w:rPr>
      </w:pPr>
    </w:p>
    <w:p w14:paraId="4D08DB20" w14:textId="77777777" w:rsidR="00EF69B3" w:rsidRPr="00195C79" w:rsidRDefault="00EF69B3" w:rsidP="00277EEF">
      <w:pPr>
        <w:pStyle w:val="a4"/>
        <w:spacing w:before="69"/>
        <w:ind w:left="0" w:right="106" w:firstLine="709"/>
        <w:contextualSpacing/>
        <w:jc w:val="both"/>
        <w:rPr>
          <w:sz w:val="24"/>
          <w:szCs w:val="24"/>
          <w:lang w:val="en-US"/>
        </w:rPr>
      </w:pPr>
    </w:p>
    <w:p w14:paraId="427A6153" w14:textId="77777777" w:rsidR="0025486C" w:rsidRPr="00195C79" w:rsidRDefault="0025486C" w:rsidP="00277EEF">
      <w:pPr>
        <w:pStyle w:val="a4"/>
        <w:spacing w:before="69"/>
        <w:ind w:left="0" w:right="106" w:firstLine="708"/>
        <w:contextualSpacing/>
        <w:jc w:val="both"/>
        <w:rPr>
          <w:i/>
          <w:iCs/>
          <w:sz w:val="24"/>
          <w:szCs w:val="24"/>
          <w:lang w:val="en-US"/>
        </w:rPr>
      </w:pPr>
    </w:p>
    <w:p w14:paraId="358BA3B0" w14:textId="3B4B3946" w:rsidR="007515E4" w:rsidRPr="00195C79" w:rsidRDefault="007515E4" w:rsidP="00277EEF">
      <w:pPr>
        <w:contextualSpacing/>
        <w:jc w:val="both"/>
        <w:rPr>
          <w:rFonts w:ascii="Times New Roman" w:hAnsi="Times New Roman" w:cs="Times New Roman"/>
          <w:lang w:val="en-US"/>
        </w:rPr>
      </w:pPr>
    </w:p>
    <w:sectPr w:rsidR="007515E4" w:rsidRPr="00195C79" w:rsidSect="00230B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11FA1"/>
    <w:multiLevelType w:val="hybridMultilevel"/>
    <w:tmpl w:val="2E027698"/>
    <w:lvl w:ilvl="0" w:tplc="6A605AC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57"/>
    <w:rsid w:val="00006C19"/>
    <w:rsid w:val="001236CC"/>
    <w:rsid w:val="00195C79"/>
    <w:rsid w:val="00230B57"/>
    <w:rsid w:val="0025486C"/>
    <w:rsid w:val="00271D44"/>
    <w:rsid w:val="00277EEF"/>
    <w:rsid w:val="005B73A0"/>
    <w:rsid w:val="006A3432"/>
    <w:rsid w:val="007515E4"/>
    <w:rsid w:val="00855AF6"/>
    <w:rsid w:val="00BB3EFA"/>
    <w:rsid w:val="00E932DF"/>
    <w:rsid w:val="00EF69B3"/>
    <w:rsid w:val="00F3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296D"/>
  <w15:chartTrackingRefBased/>
  <w15:docId w15:val="{D4134ACF-F4F6-3843-ABBB-1E1B64F0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5E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515E4"/>
    <w:pPr>
      <w:widowControl w:val="0"/>
      <w:autoSpaceDE w:val="0"/>
      <w:autoSpaceDN w:val="0"/>
      <w:spacing w:before="0" w:beforeAutospacing="0" w:after="0" w:afterAutospacing="0"/>
      <w:ind w:left="1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515E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626</Words>
  <Characters>4326</Characters>
  <Application>Microsoft Office Word</Application>
  <DocSecurity>0</DocSecurity>
  <Lines>75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Аглая Масальцева</dc:creator>
  <cp:keywords/>
  <dc:description/>
  <cp:lastModifiedBy>Аглая Масальцева</cp:lastModifiedBy>
  <cp:revision>1</cp:revision>
  <dcterms:created xsi:type="dcterms:W3CDTF">2025-02-27T19:51:00Z</dcterms:created>
  <dcterms:modified xsi:type="dcterms:W3CDTF">2025-02-27T20:38:00Z</dcterms:modified>
</cp:coreProperties>
</file>