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“Если ты говоришь вот так, это значит, что ты откуда-то не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оттуда”: языковые идеологии вокруг форм деепричастий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-вши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-мши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Ершова Лия Константиновна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студентка Санкт-Петербургского государственного университета, Санкт-Петербург, Россия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 корпусной грамматике “Rusgram”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формы на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вши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-мши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трактуются как просторечные, отмечается их распространенность 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диалектах русского языка и высокая частотность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лексикализованных форм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(не) емши / евши, пимши / пивши, спамши / спавши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Rusgram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]. Однако, обращаясь к материалам Генерального интернет корпуса русского языка (далее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ГИКРЯ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), мы можем обнаружить и такие примеры употребления:</w:t>
        <w:br w:type="textWrapping"/>
        <w:br w:type="textWrapping"/>
        <w:t xml:space="preserve">1)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Эт вряд ли . Я вон,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гуглимши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чудесное нашел , см. ниже [ГИКРЯ].</w:t>
        <w:br w:type="textWrapping"/>
        <w:t xml:space="preserve">2) Настроившись морально и немного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повикипедивши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я таки добралась до написать пост [ГИКРЯ].</w:t>
      </w:r>
    </w:p>
    <w:p w:rsidR="00000000" w:rsidDel="00000000" w:rsidP="00000000" w:rsidRDefault="00000000" w:rsidRPr="00000000" w14:paraId="00000006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240" w:line="240" w:lineRule="auto"/>
        <w:ind w:left="0" w:firstLine="708.6614173228347"/>
        <w:jc w:val="both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Среди прочих, в корпусной выдаче мы также встречаем такие вхождения, как “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заинтриговамши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”, “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обновимши Firefox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” и “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защитивши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кандидатскую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”. Таким образом, судя по разнообразию глаголов-основ и контекстов употребления, мы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едва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ли можем признать формы деепричастий на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-вши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и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 -мши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не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продуктивными. В пользу относительной распространенности данных форм говорит и частотность: было найдено 47587 случаев употребления форм на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 -вши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(ipm = 2,56672) и 11530 случаев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форм на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 -мши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(ipm = 0,06219). Примечательно достаточно частое употребление подобных форм в юмористическом, несколько ироничном контексте, а также многочисленные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суждения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обычных носителей о них: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3) … в Ленинградской области коренное население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 русские?) "вши"-кают: поемши-поспамши-полынамывши. Сначала очень ухо режет, а потом ничего, привыкаешь:) [ГИКРЯ].</w:t>
      </w:r>
    </w:p>
    <w:p w:rsidR="00000000" w:rsidDel="00000000" w:rsidP="00000000" w:rsidRDefault="00000000" w:rsidRPr="00000000" w14:paraId="00000008">
      <w:pPr>
        <w:widowControl w:val="0"/>
        <w:spacing w:after="240" w:line="240" w:lineRule="auto"/>
        <w:ind w:left="0" w:firstLine="708.6614173228347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 связи с этим возникает вопрос о том, какими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социальными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значениями обладают такие формы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этому посвящена следующая часть нашего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исследовани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я, которая таким образом вписывается в парадигму изучения языковых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идеологий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Kroskrity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: 511-512]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Материалами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послужили 8 полуструктурированных интервью с носителями русского языка, в ходе которых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им предъявлялись корпусные примеры употребления форм на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-вши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-мши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включая как лексикализованные формы (“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не спавши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”, “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не жрамши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”), так и менее частотные варианты (“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позвонивши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”, “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проколомши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” 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.). Участникам интервью предлагалось составить портрет говорящего, примерно обозначив его место жительства, уровень образования и возраст, а также обосновать свой ответ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Отметим, что участники интервью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преимущественно люди с высшим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образованием.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  <w:rtl w:val="0"/>
        </w:rPr>
        <w:t xml:space="preserve">Некоторые из них придерживаются позиции речевого пуризма: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br w:type="textWrapping"/>
        <w:br w:type="textWrapping"/>
        <w:t xml:space="preserve">“Потому что мне бабушка всегда говорила, что по этому виден твой статус. Что если ты говоришь вот так, это значит, что ты откуда-то не оттуда. Это плохо… Ну, понимаешь, я общаюсь со всеми людьми, но в голове-то я себе делаю пометку.” (М., жен., 25 л., учитель)</w:t>
      </w:r>
    </w:p>
    <w:p w:rsidR="00000000" w:rsidDel="00000000" w:rsidP="00000000" w:rsidRDefault="00000000" w:rsidRPr="00000000" w14:paraId="00000009">
      <w:pPr>
        <w:widowControl w:val="0"/>
        <w:spacing w:after="240" w:line="240" w:lineRule="auto"/>
        <w:ind w:left="0" w:firstLine="708.6614173228347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этом у многих сторонников такой позиции прослеживается некоторый внутренний конфликт, связанный с соблюдением принципов толерантности (в том числе языковой) с одной стороны, и с желанием отделить свою речь от речи менее образованных “других”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 другой. Встречается и противоположное мнение, причем основная линия аргументации здесь тоже сводится к важности толерантного отношения к разным формам языка: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Нет, не коробит, но просто я понимаю, что это малограмотная речь, но я не оцениваю качество человека по уровню его речи… Просто я для себя отмечаю, что этот человек, к сожалению, у него был ограничен доступ к образованию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.” (С., жен., 55 л., стоматолог)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240" w:line="240" w:lineRule="auto"/>
        <w:ind w:left="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Нередки ситуации,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когда несмотря на открыто высказываемую нейтральную позици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ю, участники интервью транслируют установки, характерные для сторонников идеологии языкового пуризма (“грубое звучание”, отнесение к “деревенской речи”, противопоставление “чистому языку”).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240"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случаи употребления форм на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-вши/-мши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составе деепричастного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оборота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рассматриваются как проявление морфологической вариативности в русском языке. Вопреки своей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ненормативности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эти формы оказываются распространенными 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продуктивными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при этом их употребление в речи образованных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носителей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языка часто связано с языковой игрой. Такие формы обладают набором социальных значений, связанных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преимущественно с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социальным происхождением и уровнем образования. С точки зрения языковых идеологий здесь мы сталкиваемся с двумя противоположными позициями, как правило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сосуществующими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умах носителей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идея языковой толерантности и идея о важности “чистоты” речи.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Комментарии участников интервью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обнаруживают противоречивые установки: у сторонников идей речевого пуризма есть некоторая тенденция “извиняться” за свою позицию 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психологизироват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ь ее, а в речи представителей нейтральной позиции оказываются имплицитно выражены представления о “грязном” 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“чистом”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языке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24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Источники: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after="24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Генеральный интернет-корпус русского языка: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http://www.webcorpora.ru/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24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Литература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2"/>
        </w:numPr>
        <w:spacing w:after="0" w:after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Kroskrity, P. V. Language ideologies // A Companion to Linguistic Anthropology. Oxford, 2004. Pp. 496–517.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spacing w:after="24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Rusgram.ru: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http://rusgram.ru/new/chapter/verbpar/converb/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webcorpora.ru/" TargetMode="External"/><Relationship Id="rId7" Type="http://schemas.openxmlformats.org/officeDocument/2006/relationships/hyperlink" Target="http://rusgram.ru/new/chapter/verbpar/conver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