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00BF" w14:textId="77777777" w:rsidR="00E57D6B" w:rsidRPr="00E57D6B" w:rsidRDefault="00E57D6B" w:rsidP="002532A4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D6B">
        <w:rPr>
          <w:rFonts w:ascii="Times New Roman" w:hAnsi="Times New Roman" w:cs="Times New Roman"/>
          <w:b/>
          <w:bCs/>
          <w:sz w:val="24"/>
          <w:szCs w:val="24"/>
        </w:rPr>
        <w:t>Аспектуальная подсистема глаголов движения в сербском языке в сопоставлении с русским</w:t>
      </w:r>
    </w:p>
    <w:p w14:paraId="26435B8E" w14:textId="77777777" w:rsidR="00E57D6B" w:rsidRPr="0057270D" w:rsidRDefault="00E57D6B" w:rsidP="002532A4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270D">
        <w:rPr>
          <w:rFonts w:ascii="Times New Roman" w:hAnsi="Times New Roman" w:cs="Times New Roman"/>
          <w:sz w:val="24"/>
          <w:szCs w:val="24"/>
        </w:rPr>
        <w:t>Сафин Арсений Алексеевич</w:t>
      </w:r>
    </w:p>
    <w:p w14:paraId="011C2AF6" w14:textId="77777777" w:rsidR="00E57D6B" w:rsidRPr="0057270D" w:rsidRDefault="00E57D6B" w:rsidP="002532A4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270D"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им. М.В. Ломоносова, Москва, Россия</w:t>
      </w:r>
    </w:p>
    <w:p w14:paraId="30A8C0B6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>Целью данного исследования было выявить отличия в устройстве аспектуальной подсистемы глаголов движения в сербском и русском языках. Были рассмотрены видовые тройки с этим значением в двух языках.</w:t>
      </w:r>
    </w:p>
    <w:p w14:paraId="54F5D970" w14:textId="6436F480" w:rsidR="00E57D6B" w:rsidRPr="00D507AA" w:rsidRDefault="00E57D6B" w:rsidP="00D507AA">
      <w:pPr>
        <w:spacing w:line="240" w:lineRule="auto"/>
        <w:ind w:left="709" w:right="709" w:firstLine="709"/>
        <w:rPr>
          <w:rFonts w:ascii="Times New Roman" w:hAnsi="Times New Roman" w:cs="Times New Roman"/>
          <w:sz w:val="24"/>
          <w:szCs w:val="24"/>
        </w:rPr>
      </w:pPr>
      <w:r w:rsidRPr="00D507AA">
        <w:rPr>
          <w:rFonts w:ascii="Times New Roman" w:hAnsi="Times New Roman" w:cs="Times New Roman"/>
          <w:sz w:val="24"/>
          <w:szCs w:val="24"/>
        </w:rPr>
        <w:t>Первичные глаголы НСВ</w:t>
      </w:r>
    </w:p>
    <w:p w14:paraId="76A3826D" w14:textId="6028E2B0" w:rsidR="00E57D6B" w:rsidRPr="00844852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В русском языке существует два ряда бесприставочных глаголов движения: глаголы типа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идти </w:t>
      </w:r>
      <w:r w:rsidRPr="00E57D6B">
        <w:rPr>
          <w:rFonts w:ascii="Times New Roman" w:hAnsi="Times New Roman" w:cs="Times New Roman"/>
          <w:sz w:val="24"/>
          <w:szCs w:val="24"/>
        </w:rPr>
        <w:t xml:space="preserve">(глаголы определенного движения – далее глаголы ОД) и глаголы типа </w:t>
      </w:r>
      <w:r w:rsidRPr="0077300A">
        <w:rPr>
          <w:rFonts w:ascii="Times New Roman" w:hAnsi="Times New Roman" w:cs="Times New Roman"/>
          <w:i/>
          <w:iCs/>
          <w:sz w:val="24"/>
          <w:szCs w:val="24"/>
        </w:rPr>
        <w:t>ходить</w:t>
      </w:r>
      <w:r w:rsidRPr="00E57D6B">
        <w:rPr>
          <w:rFonts w:ascii="Times New Roman" w:hAnsi="Times New Roman" w:cs="Times New Roman"/>
          <w:sz w:val="24"/>
          <w:szCs w:val="24"/>
        </w:rPr>
        <w:t xml:space="preserve"> (глаголы неопределенного движения – далее глаголы НД). Глаголы типы идти называют также глаголами направленного (однонаправленного) движения, или моторно-некратными; глаголы типа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ходить</w:t>
      </w:r>
      <w:r w:rsidRPr="00E57D6B">
        <w:rPr>
          <w:rFonts w:ascii="Times New Roman" w:hAnsi="Times New Roman" w:cs="Times New Roman"/>
          <w:sz w:val="24"/>
          <w:szCs w:val="24"/>
        </w:rPr>
        <w:t xml:space="preserve"> называют также глаголами ненаправленного (разнонаправленного, не однонаправленного) движения, или моторно-кратными.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300A" w:rsidRPr="00844852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844852">
        <w:rPr>
          <w:rFonts w:ascii="Times New Roman" w:hAnsi="Times New Roman" w:cs="Times New Roman"/>
          <w:i/>
          <w:iCs/>
          <w:sz w:val="24"/>
          <w:szCs w:val="24"/>
        </w:rPr>
        <w:t>Анна А. Зализняк, Шмелев 2015: 99</w:t>
      </w:r>
      <w:r w:rsidR="0077300A" w:rsidRPr="00844852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79CF84EF" w14:textId="2A4C72CC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В русском языке классы глаголов </w:t>
      </w:r>
      <w:r w:rsidR="00844852">
        <w:rPr>
          <w:rFonts w:ascii="Times New Roman" w:hAnsi="Times New Roman" w:cs="Times New Roman"/>
          <w:sz w:val="24"/>
          <w:szCs w:val="24"/>
        </w:rPr>
        <w:t>ОД</w:t>
      </w:r>
      <w:r w:rsidRPr="00E57D6B">
        <w:rPr>
          <w:rFonts w:ascii="Times New Roman" w:hAnsi="Times New Roman" w:cs="Times New Roman"/>
          <w:sz w:val="24"/>
          <w:szCs w:val="24"/>
        </w:rPr>
        <w:t xml:space="preserve"> и </w:t>
      </w:r>
      <w:r w:rsidR="00844852">
        <w:rPr>
          <w:rFonts w:ascii="Times New Roman" w:hAnsi="Times New Roman" w:cs="Times New Roman"/>
          <w:sz w:val="24"/>
          <w:szCs w:val="24"/>
        </w:rPr>
        <w:t>НД</w:t>
      </w:r>
      <w:r w:rsidRPr="00E57D6B">
        <w:rPr>
          <w:rFonts w:ascii="Times New Roman" w:hAnsi="Times New Roman" w:cs="Times New Roman"/>
          <w:sz w:val="24"/>
          <w:szCs w:val="24"/>
        </w:rPr>
        <w:t xml:space="preserve"> являются закрытыми, и между их элементами наблюдается взаимно-однозначное соответствие: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идти – ходить, вести – водить, везти – возить, нести(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сь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>) – носить(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ся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>), гнать(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ся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>) – гонять(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ся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7300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77300A" w:rsidRPr="0077300A">
        <w:rPr>
          <w:rFonts w:ascii="Times New Roman" w:hAnsi="Times New Roman" w:cs="Times New Roman"/>
          <w:sz w:val="24"/>
          <w:szCs w:val="24"/>
        </w:rPr>
        <w:t>и т. д.</w:t>
      </w:r>
      <w:r w:rsidR="007730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D6B">
        <w:rPr>
          <w:rFonts w:ascii="Times New Roman" w:hAnsi="Times New Roman" w:cs="Times New Roman"/>
          <w:sz w:val="24"/>
          <w:szCs w:val="24"/>
        </w:rPr>
        <w:t>Пары не являются видовыми, так как оба глагола в них относятся к несовершенному виду, однако морфологически глаголы</w:t>
      </w:r>
      <w:r w:rsidR="00844852">
        <w:rPr>
          <w:rFonts w:ascii="Times New Roman" w:hAnsi="Times New Roman" w:cs="Times New Roman"/>
          <w:sz w:val="24"/>
          <w:szCs w:val="24"/>
        </w:rPr>
        <w:t xml:space="preserve"> НД</w:t>
      </w:r>
      <w:r w:rsidRPr="00E57D6B">
        <w:rPr>
          <w:rFonts w:ascii="Times New Roman" w:hAnsi="Times New Roman" w:cs="Times New Roman"/>
          <w:sz w:val="24"/>
          <w:szCs w:val="24"/>
        </w:rPr>
        <w:t xml:space="preserve"> в данных парах образуются от </w:t>
      </w:r>
      <w:r w:rsidR="00844852">
        <w:rPr>
          <w:rFonts w:ascii="Times New Roman" w:hAnsi="Times New Roman" w:cs="Times New Roman"/>
          <w:sz w:val="24"/>
          <w:szCs w:val="24"/>
        </w:rPr>
        <w:t>глаголов ОД</w:t>
      </w:r>
      <w:r w:rsidR="0077300A">
        <w:rPr>
          <w:rFonts w:ascii="Times New Roman" w:hAnsi="Times New Roman" w:cs="Times New Roman"/>
          <w:sz w:val="24"/>
          <w:szCs w:val="24"/>
        </w:rPr>
        <w:t>.</w:t>
      </w:r>
    </w:p>
    <w:p w14:paraId="292BB00C" w14:textId="59B78684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>У глаголов</w:t>
      </w:r>
      <w:r w:rsidR="00844852">
        <w:rPr>
          <w:rFonts w:ascii="Times New Roman" w:hAnsi="Times New Roman" w:cs="Times New Roman"/>
          <w:sz w:val="24"/>
          <w:szCs w:val="24"/>
        </w:rPr>
        <w:t xml:space="preserve"> НД</w:t>
      </w:r>
      <w:r w:rsidRPr="00E57D6B">
        <w:rPr>
          <w:rFonts w:ascii="Times New Roman" w:hAnsi="Times New Roman" w:cs="Times New Roman"/>
          <w:sz w:val="24"/>
          <w:szCs w:val="24"/>
        </w:rPr>
        <w:t xml:space="preserve"> существует целенаправленный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ходить по комнате, бегать по двору)</w:t>
      </w:r>
      <w:r w:rsidRPr="00E57D6B">
        <w:rPr>
          <w:rFonts w:ascii="Times New Roman" w:hAnsi="Times New Roman" w:cs="Times New Roman"/>
          <w:sz w:val="24"/>
          <w:szCs w:val="24"/>
        </w:rPr>
        <w:t xml:space="preserve"> и нецеленаправленный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ходить в школу, ездить на дачу</w:t>
      </w:r>
      <w:r w:rsidRPr="00E57D6B">
        <w:rPr>
          <w:rFonts w:ascii="Times New Roman" w:hAnsi="Times New Roman" w:cs="Times New Roman"/>
          <w:sz w:val="24"/>
          <w:szCs w:val="24"/>
        </w:rPr>
        <w:t xml:space="preserve">) типы употребления. </w:t>
      </w:r>
    </w:p>
    <w:p w14:paraId="0C0D9381" w14:textId="54EBC36F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В сербском языке, как правило, существует только один глагол, за исключением пар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ћи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7300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ходати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57D6B">
        <w:rPr>
          <w:rFonts w:ascii="Times New Roman" w:hAnsi="Times New Roman" w:cs="Times New Roman"/>
          <w:sz w:val="24"/>
          <w:szCs w:val="24"/>
        </w:rPr>
        <w:t xml:space="preserve">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300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летети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7300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летати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57D6B">
        <w:rPr>
          <w:rFonts w:ascii="Times New Roman" w:hAnsi="Times New Roman" w:cs="Times New Roman"/>
          <w:sz w:val="24"/>
          <w:szCs w:val="24"/>
        </w:rPr>
        <w:t>в которых первый глагол употребляется в функции глагола ОД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идти</w:t>
      </w:r>
      <w:r w:rsidRPr="00E57D6B">
        <w:rPr>
          <w:rFonts w:ascii="Times New Roman" w:hAnsi="Times New Roman" w:cs="Times New Roman"/>
          <w:sz w:val="24"/>
          <w:szCs w:val="24"/>
        </w:rPr>
        <w:t>) и глагола НД целенаправленного типа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ходить в школу</w:t>
      </w:r>
      <w:r w:rsidRPr="00E57D6B">
        <w:rPr>
          <w:rFonts w:ascii="Times New Roman" w:hAnsi="Times New Roman" w:cs="Times New Roman"/>
          <w:sz w:val="24"/>
          <w:szCs w:val="24"/>
        </w:rPr>
        <w:t xml:space="preserve">), а второй в функции глагола НД нецеленаправленного типа (что в словарном толковании подчеркивается наречием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тамо-</w:t>
      </w:r>
      <w:r w:rsidR="0077300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амо</w:t>
      </w:r>
      <w:r w:rsidRPr="00E57D6B">
        <w:rPr>
          <w:rFonts w:ascii="Times New Roman" w:hAnsi="Times New Roman" w:cs="Times New Roman"/>
          <w:sz w:val="24"/>
          <w:szCs w:val="24"/>
        </w:rPr>
        <w:t xml:space="preserve"> – ‘туда-сюда’</w:t>
      </w:r>
      <w:r w:rsidR="0079529A">
        <w:rPr>
          <w:rFonts w:ascii="Times New Roman" w:hAnsi="Times New Roman" w:cs="Times New Roman"/>
          <w:sz w:val="24"/>
          <w:szCs w:val="24"/>
        </w:rPr>
        <w:t xml:space="preserve"> </w:t>
      </w:r>
      <w:r w:rsidR="0079529A" w:rsidRPr="0079529A">
        <w:rPr>
          <w:rFonts w:ascii="Times New Roman" w:hAnsi="Times New Roman" w:cs="Times New Roman"/>
          <w:sz w:val="24"/>
          <w:szCs w:val="24"/>
        </w:rPr>
        <w:t>[</w:t>
      </w:r>
      <w:r w:rsidR="0079529A">
        <w:rPr>
          <w:rFonts w:ascii="Times New Roman" w:hAnsi="Times New Roman" w:cs="Times New Roman"/>
          <w:sz w:val="24"/>
          <w:szCs w:val="24"/>
          <w:lang w:val="sr-Cyrl-RS"/>
        </w:rPr>
        <w:t>РСЈ 2011</w:t>
      </w:r>
      <w:r w:rsidR="0079529A">
        <w:rPr>
          <w:rFonts w:ascii="Times New Roman" w:hAnsi="Times New Roman" w:cs="Times New Roman"/>
          <w:sz w:val="24"/>
          <w:szCs w:val="24"/>
        </w:rPr>
        <w:t>: 623, 1437</w:t>
      </w:r>
      <w:r w:rsidR="0079529A" w:rsidRPr="0079529A">
        <w:rPr>
          <w:rFonts w:ascii="Times New Roman" w:hAnsi="Times New Roman" w:cs="Times New Roman"/>
          <w:sz w:val="24"/>
          <w:szCs w:val="24"/>
        </w:rPr>
        <w:t>]</w:t>
      </w:r>
      <w:r w:rsidRPr="00E57D6B">
        <w:rPr>
          <w:rFonts w:ascii="Times New Roman" w:hAnsi="Times New Roman" w:cs="Times New Roman"/>
          <w:sz w:val="24"/>
          <w:szCs w:val="24"/>
        </w:rPr>
        <w:t>).</w:t>
      </w:r>
    </w:p>
    <w:p w14:paraId="7FE078DA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Таким образом, в русском языке аспектуальная подсистема глаголов движения основывается на признаке </w:t>
      </w:r>
      <w:proofErr w:type="spellStart"/>
      <w:r w:rsidRPr="00E57D6B">
        <w:rPr>
          <w:rFonts w:ascii="Times New Roman" w:hAnsi="Times New Roman" w:cs="Times New Roman"/>
          <w:sz w:val="24"/>
          <w:szCs w:val="24"/>
        </w:rPr>
        <w:t>однонаправленность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57D6B">
        <w:rPr>
          <w:rFonts w:ascii="Times New Roman" w:hAnsi="Times New Roman" w:cs="Times New Roman"/>
          <w:sz w:val="24"/>
          <w:szCs w:val="24"/>
        </w:rPr>
        <w:t>неоднонаправленность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 xml:space="preserve"> действия, в то время как в сербском языке в области базовых глаголов действует противопоставление направленность/ ненаправленность, охватывая при этом очень ограниченный круг глаголов.</w:t>
      </w:r>
    </w:p>
    <w:p w14:paraId="61893DDA" w14:textId="63EB99E7" w:rsidR="00E57D6B" w:rsidRPr="0077300A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0A">
        <w:rPr>
          <w:rFonts w:ascii="Times New Roman" w:hAnsi="Times New Roman" w:cs="Times New Roman"/>
          <w:sz w:val="24"/>
          <w:szCs w:val="24"/>
        </w:rPr>
        <w:t>Глаголы СВ</w:t>
      </w:r>
    </w:p>
    <w:p w14:paraId="6916BB5F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>Особенностью этой подсистемы в обоих языках является то, что глаголы движения активно присоединяют к себе приставки. В русском языке приставки присоединяют как глаголы ОД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завести</w:t>
      </w:r>
      <w:r w:rsidRPr="00E57D6B">
        <w:rPr>
          <w:rFonts w:ascii="Times New Roman" w:hAnsi="Times New Roman" w:cs="Times New Roman"/>
          <w:sz w:val="24"/>
          <w:szCs w:val="24"/>
        </w:rPr>
        <w:t xml:space="preserve">,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перенести</w:t>
      </w:r>
      <w:r w:rsidRPr="00E57D6B">
        <w:rPr>
          <w:rFonts w:ascii="Times New Roman" w:hAnsi="Times New Roman" w:cs="Times New Roman"/>
          <w:sz w:val="24"/>
          <w:szCs w:val="24"/>
        </w:rPr>
        <w:t>) так и НД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полетать, объездить</w:t>
      </w:r>
      <w:r w:rsidRPr="00E57D6B">
        <w:rPr>
          <w:rFonts w:ascii="Times New Roman" w:hAnsi="Times New Roman" w:cs="Times New Roman"/>
          <w:sz w:val="24"/>
          <w:szCs w:val="24"/>
        </w:rPr>
        <w:t>).</w:t>
      </w:r>
    </w:p>
    <w:p w14:paraId="281F09EC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>Глаголы ОД входят в функциональные видовые пары с глаголами начинательного способа действия (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идти – пойти</w:t>
      </w:r>
      <w:r w:rsidRPr="00E57D6B">
        <w:rPr>
          <w:rFonts w:ascii="Times New Roman" w:hAnsi="Times New Roman" w:cs="Times New Roman"/>
          <w:sz w:val="24"/>
          <w:szCs w:val="24"/>
        </w:rPr>
        <w:t xml:space="preserve">,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бежать – побежать</w:t>
      </w:r>
      <w:r w:rsidRPr="00E57D6B">
        <w:rPr>
          <w:rFonts w:ascii="Times New Roman" w:hAnsi="Times New Roman" w:cs="Times New Roman"/>
          <w:sz w:val="24"/>
          <w:szCs w:val="24"/>
        </w:rPr>
        <w:t xml:space="preserve">,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лететь – полететь). </w:t>
      </w:r>
      <w:r w:rsidRPr="00E57D6B">
        <w:rPr>
          <w:rFonts w:ascii="Times New Roman" w:hAnsi="Times New Roman" w:cs="Times New Roman"/>
          <w:sz w:val="24"/>
          <w:szCs w:val="24"/>
        </w:rPr>
        <w:t>Глаголы НД в нецеленаправленном употреблении не входят в видовые пары, для целенаправленных глаголов НД видовой парой являются глаголы типа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сходить, съездить, сводить.</w:t>
      </w:r>
    </w:p>
    <w:p w14:paraId="49CC777A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>В отличие от русского в сербском языке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 xml:space="preserve"> в роли видовой пары к глаголам движения чаще всего выступают глаголы с приставкой 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од-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от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(рус. от-),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 xml:space="preserve">соответствующие русским глаголам отправления из какой-либо точки 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уехать, убежать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и т.д.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Это можно доказать с помощью контекстов с модальными глаголами, в которых мена видов довольно автоматична: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Ја </w:t>
      </w:r>
      <w:r w:rsidRPr="00E57D6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 xml:space="preserve">идем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 xml:space="preserve">(инф. 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ићи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 биоскоп – Ја желим да </w:t>
      </w:r>
      <w:r w:rsidRPr="00E57D6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одем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 xml:space="preserve"> (инф. 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отићи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 биоскоп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57D6B">
        <w:rPr>
          <w:rFonts w:ascii="Times New Roman" w:hAnsi="Times New Roman" w:cs="Times New Roman"/>
          <w:sz w:val="24"/>
          <w:szCs w:val="24"/>
        </w:rPr>
        <w:t>рус.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Я </w:t>
      </w:r>
      <w:r w:rsidRPr="00E57D6B">
        <w:rPr>
          <w:rFonts w:ascii="Times New Roman" w:hAnsi="Times New Roman" w:cs="Times New Roman"/>
          <w:i/>
          <w:iCs/>
          <w:sz w:val="24"/>
          <w:szCs w:val="24"/>
          <w:u w:val="single"/>
        </w:rPr>
        <w:t>иду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в кино – Я хочу </w:t>
      </w:r>
      <w:r w:rsidRPr="00E57D6B">
        <w:rPr>
          <w:rFonts w:ascii="Times New Roman" w:hAnsi="Times New Roman" w:cs="Times New Roman"/>
          <w:i/>
          <w:iCs/>
          <w:sz w:val="24"/>
          <w:szCs w:val="24"/>
          <w:u w:val="single"/>
        </w:rPr>
        <w:t>пойти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в кино</w:t>
      </w:r>
      <w:r w:rsidRPr="00E57D6B">
        <w:rPr>
          <w:rFonts w:ascii="Times New Roman" w:hAnsi="Times New Roman" w:cs="Times New Roman"/>
          <w:sz w:val="24"/>
          <w:szCs w:val="24"/>
        </w:rPr>
        <w:t>).</w:t>
      </w:r>
    </w:p>
    <w:p w14:paraId="44106DDE" w14:textId="42D39BEB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Эквивалентов для русских глаголов типа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сходить</w:t>
      </w:r>
      <w:r w:rsidRPr="00E57D6B">
        <w:rPr>
          <w:rFonts w:ascii="Times New Roman" w:hAnsi="Times New Roman" w:cs="Times New Roman"/>
          <w:sz w:val="24"/>
          <w:szCs w:val="24"/>
        </w:rPr>
        <w:t xml:space="preserve"> в сербском языке не существует, а переводятся они глаголами типа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по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ћи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6781F">
        <w:rPr>
          <w:rFonts w:ascii="Times New Roman" w:hAnsi="Times New Roman" w:cs="Times New Roman"/>
          <w:sz w:val="24"/>
          <w:szCs w:val="24"/>
        </w:rPr>
        <w:t>причем</w:t>
      </w:r>
      <w:r w:rsidRPr="00E57D6B">
        <w:rPr>
          <w:rFonts w:ascii="Times New Roman" w:hAnsi="Times New Roman" w:cs="Times New Roman"/>
          <w:sz w:val="24"/>
          <w:szCs w:val="24"/>
        </w:rPr>
        <w:t xml:space="preserve"> </w:t>
      </w:r>
      <w:r w:rsidR="00B6781F">
        <w:rPr>
          <w:rFonts w:ascii="Times New Roman" w:hAnsi="Times New Roman" w:cs="Times New Roman"/>
          <w:sz w:val="24"/>
          <w:szCs w:val="24"/>
        </w:rPr>
        <w:t>в данном случае утрачивается указание на то, что движение является обратимым, то есть предполагает возвращение субъекта в исходную точку.</w:t>
      </w:r>
    </w:p>
    <w:p w14:paraId="4553C2BA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В русском языке разные приставки в зависимости от того, присоединяются они к глаголу определенного или неопределенного движения имеют разное значение: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поплыть </w:t>
      </w:r>
      <w:r w:rsidRPr="00E57D6B">
        <w:rPr>
          <w:rFonts w:ascii="Times New Roman" w:hAnsi="Times New Roman" w:cs="Times New Roman"/>
          <w:sz w:val="24"/>
          <w:szCs w:val="24"/>
        </w:rPr>
        <w:t>(начинательное значение)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– поплавать </w:t>
      </w:r>
      <w:r w:rsidRPr="00E57D6B">
        <w:rPr>
          <w:rFonts w:ascii="Times New Roman" w:hAnsi="Times New Roman" w:cs="Times New Roman"/>
          <w:sz w:val="24"/>
          <w:szCs w:val="24"/>
        </w:rPr>
        <w:t>(делимитативное значение)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96234AF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В силу отсутствия второго глагола, существующий глагол в сербском языке может употребляться с приставками в обоих значениях: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потрчати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 xml:space="preserve"> – (‘побежать’/ ‘побегать’).</w:t>
      </w:r>
    </w:p>
    <w:p w14:paraId="078BF29F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 xml:space="preserve">Немногочисленные глаголы ненаправленного движения в сербском также могут присоединять приставки: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ходати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(‘</w:t>
      </w:r>
      <w:r w:rsidRPr="00E57D6B">
        <w:rPr>
          <w:rFonts w:ascii="Times New Roman" w:hAnsi="Times New Roman" w:cs="Times New Roman"/>
          <w:sz w:val="24"/>
          <w:szCs w:val="24"/>
        </w:rPr>
        <w:t>ходить без направления’/ ‘иметь физическую возможность ходить’) –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проходати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D6B">
        <w:rPr>
          <w:rFonts w:ascii="Times New Roman" w:hAnsi="Times New Roman" w:cs="Times New Roman"/>
          <w:sz w:val="24"/>
          <w:szCs w:val="24"/>
        </w:rPr>
        <w:t>(‘начать ходить’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57D6B">
        <w:rPr>
          <w:rFonts w:ascii="Times New Roman" w:hAnsi="Times New Roman" w:cs="Times New Roman"/>
          <w:sz w:val="24"/>
          <w:szCs w:val="24"/>
        </w:rPr>
        <w:t>аналогично рус.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прозреть), </w:t>
      </w:r>
      <w:r w:rsidRPr="00E57D6B">
        <w:rPr>
          <w:rFonts w:ascii="Times New Roman" w:hAnsi="Times New Roman" w:cs="Times New Roman"/>
          <w:sz w:val="24"/>
          <w:szCs w:val="24"/>
        </w:rPr>
        <w:t>однако такие случаи редки.</w:t>
      </w:r>
    </w:p>
    <w:p w14:paraId="1EE77775" w14:textId="18892477" w:rsidR="00E57D6B" w:rsidRPr="00D507AA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507AA">
        <w:rPr>
          <w:rFonts w:ascii="Times New Roman" w:hAnsi="Times New Roman" w:cs="Times New Roman"/>
          <w:sz w:val="24"/>
          <w:szCs w:val="24"/>
          <w:lang w:val="mk-MK"/>
        </w:rPr>
        <w:t xml:space="preserve">Вторичная имерфективация </w:t>
      </w:r>
    </w:p>
    <w:p w14:paraId="30DE9819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  <w:r w:rsidRPr="00E57D6B">
        <w:rPr>
          <w:rFonts w:ascii="Times New Roman" w:hAnsi="Times New Roman" w:cs="Times New Roman"/>
          <w:sz w:val="24"/>
          <w:szCs w:val="24"/>
          <w:lang w:val="mk-MK"/>
        </w:rPr>
        <w:t xml:space="preserve">В обоих языках приставочные глаголы движения могут подвергаться вторичной имперфективации, в результате чего получаются глаголы несов. вида, образующие с приставочным глаголом СВ видовую пару: 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mk-MK"/>
        </w:rPr>
        <w:t xml:space="preserve">отплыть – отплывать </w:t>
      </w:r>
      <w:r w:rsidRPr="00E57D6B">
        <w:rPr>
          <w:rFonts w:ascii="Times New Roman" w:hAnsi="Times New Roman" w:cs="Times New Roman"/>
          <w:sz w:val="24"/>
          <w:szCs w:val="24"/>
          <w:lang w:val="mk-MK"/>
        </w:rPr>
        <w:t>(с помощью суффикса)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mk-MK"/>
        </w:rPr>
        <w:t xml:space="preserve">, перейти – переходить </w:t>
      </w:r>
      <w:r w:rsidRPr="00E57D6B">
        <w:rPr>
          <w:rFonts w:ascii="Times New Roman" w:hAnsi="Times New Roman" w:cs="Times New Roman"/>
          <w:sz w:val="24"/>
          <w:szCs w:val="24"/>
          <w:lang w:val="mk-MK"/>
        </w:rPr>
        <w:t>(с помощью мены основы).</w:t>
      </w:r>
    </w:p>
    <w:p w14:paraId="667DD3B1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t>В сербских видовых тройках мена основы может происходить один (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ићи – проћи – пролазити)</w:t>
      </w:r>
      <w:r w:rsidRPr="00E57D6B">
        <w:rPr>
          <w:rFonts w:ascii="Times New Roman" w:hAnsi="Times New Roman" w:cs="Times New Roman"/>
          <w:sz w:val="24"/>
          <w:szCs w:val="24"/>
        </w:rPr>
        <w:t xml:space="preserve"> или два раза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водити – довести – доводити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.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 xml:space="preserve">У глагола 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ић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E57D6B">
        <w:rPr>
          <w:rFonts w:ascii="Times New Roman" w:hAnsi="Times New Roman" w:cs="Times New Roman"/>
          <w:sz w:val="24"/>
          <w:szCs w:val="24"/>
        </w:rPr>
        <w:t xml:space="preserve">существует также непродуктивную основу вторичного </w:t>
      </w:r>
      <w:proofErr w:type="spellStart"/>
      <w:r w:rsidRPr="00E57D6B">
        <w:rPr>
          <w:rFonts w:ascii="Times New Roman" w:hAnsi="Times New Roman" w:cs="Times New Roman"/>
          <w:sz w:val="24"/>
          <w:szCs w:val="24"/>
        </w:rPr>
        <w:t>имперфектива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ходити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-хађати).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D6B">
        <w:rPr>
          <w:rFonts w:ascii="Times New Roman" w:hAnsi="Times New Roman" w:cs="Times New Roman"/>
          <w:sz w:val="24"/>
          <w:szCs w:val="24"/>
        </w:rPr>
        <w:t xml:space="preserve">Глаголы с ней с помощью суффикса -а- образуют глаголы итеративного способа действия: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ћи – доћ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и –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доходити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доходати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 xml:space="preserve"> (рус. </w:t>
      </w:r>
      <w:r w:rsidRPr="00E57D6B">
        <w:rPr>
          <w:rFonts w:ascii="Times New Roman" w:hAnsi="Times New Roman" w:cs="Times New Roman"/>
          <w:i/>
          <w:iCs/>
          <w:sz w:val="24"/>
          <w:szCs w:val="24"/>
        </w:rPr>
        <w:t>идти – зайти – заходить – захаживать).</w:t>
      </w:r>
    </w:p>
    <w:p w14:paraId="042F1AA0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7D6B">
        <w:rPr>
          <w:rFonts w:ascii="Times New Roman" w:hAnsi="Times New Roman" w:cs="Times New Roman"/>
          <w:sz w:val="24"/>
          <w:szCs w:val="24"/>
          <w:lang w:val="sr-Cyrl-RS"/>
        </w:rPr>
        <w:t>От русских глаголов НД совершенного вида вторичные имперфективы образуются нечасто (</w:t>
      </w:r>
      <w:r w:rsidRPr="00E57D6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вынашивать), </w:t>
      </w:r>
      <w:r w:rsidRPr="00E57D6B">
        <w:rPr>
          <w:rFonts w:ascii="Times New Roman" w:hAnsi="Times New Roman" w:cs="Times New Roman"/>
          <w:sz w:val="24"/>
          <w:szCs w:val="24"/>
          <w:lang w:val="sr-Cyrl-RS"/>
        </w:rPr>
        <w:t>в сербском таких примеров не было обнаружено.</w:t>
      </w:r>
    </w:p>
    <w:p w14:paraId="1E1D2021" w14:textId="77777777" w:rsidR="00E57D6B" w:rsidRP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  <w:lang w:val="sr-Cyrl-RS"/>
        </w:rPr>
        <w:t>Активность сербских вторичных имперфективов со значением движения выше, чем в русском</w:t>
      </w:r>
      <w:r w:rsidRPr="00E57D6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E57D6B">
        <w:rPr>
          <w:rFonts w:ascii="Times New Roman" w:hAnsi="Times New Roman" w:cs="Times New Roman"/>
          <w:sz w:val="24"/>
          <w:szCs w:val="24"/>
        </w:rPr>
        <w:t xml:space="preserve">Например, сербские вторичные </w:t>
      </w:r>
      <w:proofErr w:type="spellStart"/>
      <w:r w:rsidRPr="00E57D6B">
        <w:rPr>
          <w:rFonts w:ascii="Times New Roman" w:hAnsi="Times New Roman" w:cs="Times New Roman"/>
          <w:sz w:val="24"/>
          <w:szCs w:val="24"/>
        </w:rPr>
        <w:t>имперфективы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 xml:space="preserve"> со значением прибытия в отличие от русских могут использоваться в конкретно-процессном значении: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Долазим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да вам кажем да сам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донео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6B">
        <w:rPr>
          <w:rFonts w:ascii="Times New Roman" w:hAnsi="Times New Roman" w:cs="Times New Roman"/>
          <w:i/>
          <w:iCs/>
          <w:sz w:val="24"/>
          <w:szCs w:val="24"/>
        </w:rPr>
        <w:t>одлуку</w:t>
      </w:r>
      <w:proofErr w:type="spellEnd"/>
      <w:r w:rsidRPr="00E57D6B">
        <w:rPr>
          <w:rFonts w:ascii="Times New Roman" w:hAnsi="Times New Roman" w:cs="Times New Roman"/>
          <w:i/>
          <w:iCs/>
          <w:sz w:val="24"/>
          <w:szCs w:val="24"/>
        </w:rPr>
        <w:t xml:space="preserve"> (*Прихожу, чтобы вам сказать, что я принял решение).</w:t>
      </w:r>
    </w:p>
    <w:p w14:paraId="5E6647B6" w14:textId="77777777" w:rsidR="00E57D6B" w:rsidRDefault="00E57D6B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D6B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русская аспектуальная подсистема глаголов движения устроена иным образом, чем сербская: были обнаружены различия в области представления протекания действия во времени в двух языках, устройстве видового противопоставления, употреблении вторичных </w:t>
      </w:r>
      <w:proofErr w:type="spellStart"/>
      <w:r w:rsidRPr="00E57D6B">
        <w:rPr>
          <w:rFonts w:ascii="Times New Roman" w:hAnsi="Times New Roman" w:cs="Times New Roman"/>
          <w:sz w:val="24"/>
          <w:szCs w:val="24"/>
        </w:rPr>
        <w:t>имперфективов</w:t>
      </w:r>
      <w:proofErr w:type="spellEnd"/>
      <w:r w:rsidRPr="00E57D6B">
        <w:rPr>
          <w:rFonts w:ascii="Times New Roman" w:hAnsi="Times New Roman" w:cs="Times New Roman"/>
          <w:sz w:val="24"/>
          <w:szCs w:val="24"/>
        </w:rPr>
        <w:t>. В целом, в русском языке эта подсистема устроена гораздо сложнее, чем в сербском. В то же время, между двумя языками существуют сходства в области способов глагольного действия.</w:t>
      </w:r>
    </w:p>
    <w:p w14:paraId="75883CE2" w14:textId="2B66B78A" w:rsidR="0079529A" w:rsidRDefault="0079529A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60FFE994" w14:textId="5FB3B420" w:rsidR="0079529A" w:rsidRPr="002532A4" w:rsidRDefault="002532A4" w:rsidP="00D507AA">
      <w:pPr>
        <w:spacing w:line="240" w:lineRule="auto"/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2A4">
        <w:rPr>
          <w:rFonts w:ascii="Times New Roman" w:hAnsi="Times New Roman" w:cs="Times New Roman"/>
          <w:sz w:val="24"/>
          <w:szCs w:val="24"/>
        </w:rPr>
        <w:t>Зализняк Анна А., Шмелев А. Д. Глаголы движения как особая аспектуальная подсистема в русском языке // Русская аспектология: в защиту видовой пары. Москва, 2015</w:t>
      </w:r>
    </w:p>
    <w:p w14:paraId="45A91BE2" w14:textId="7348AF7D" w:rsidR="002532A4" w:rsidRPr="002532A4" w:rsidRDefault="002532A4" w:rsidP="00D507AA">
      <w:pPr>
        <w:spacing w:line="240" w:lineRule="auto"/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2A4">
        <w:rPr>
          <w:rFonts w:ascii="Times New Roman" w:hAnsi="Times New Roman" w:cs="Times New Roman"/>
          <w:sz w:val="24"/>
          <w:szCs w:val="24"/>
        </w:rPr>
        <w:t xml:space="preserve">Речник </w:t>
      </w:r>
      <w:proofErr w:type="spellStart"/>
      <w:r w:rsidRPr="002532A4">
        <w:rPr>
          <w:rFonts w:ascii="Times New Roman" w:hAnsi="Times New Roman" w:cs="Times New Roman"/>
          <w:sz w:val="24"/>
          <w:szCs w:val="24"/>
        </w:rPr>
        <w:t>српскога</w:t>
      </w:r>
      <w:proofErr w:type="spellEnd"/>
      <w:r w:rsidRPr="002532A4">
        <w:rPr>
          <w:rFonts w:ascii="Times New Roman" w:hAnsi="Times New Roman" w:cs="Times New Roman"/>
          <w:sz w:val="24"/>
          <w:szCs w:val="24"/>
        </w:rPr>
        <w:t xml:space="preserve"> </w:t>
      </w:r>
      <w:r w:rsidRPr="002532A4">
        <w:rPr>
          <w:rFonts w:ascii="Times New Roman" w:hAnsi="Times New Roman" w:cs="Times New Roman"/>
          <w:sz w:val="24"/>
          <w:szCs w:val="24"/>
          <w:lang w:val="sr-Cyrl-RS"/>
        </w:rPr>
        <w:t>језика</w:t>
      </w:r>
      <w:r w:rsidRPr="002532A4">
        <w:rPr>
          <w:rFonts w:ascii="Times New Roman" w:hAnsi="Times New Roman" w:cs="Times New Roman"/>
          <w:sz w:val="24"/>
          <w:szCs w:val="24"/>
        </w:rPr>
        <w:t>. Нови Сад, 2011</w:t>
      </w:r>
    </w:p>
    <w:p w14:paraId="77CFDBA1" w14:textId="47BF16AF" w:rsidR="002532A4" w:rsidRPr="002532A4" w:rsidRDefault="002532A4" w:rsidP="00D507AA">
      <w:pPr>
        <w:spacing w:line="240" w:lineRule="auto"/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2A4">
        <w:rPr>
          <w:rFonts w:ascii="Times New Roman" w:hAnsi="Times New Roman" w:cs="Times New Roman"/>
          <w:sz w:val="24"/>
          <w:szCs w:val="24"/>
        </w:rPr>
        <w:t>Толстой И. И. Сербскохорватско-русский словарь. Москва, 1970</w:t>
      </w:r>
    </w:p>
    <w:p w14:paraId="14D9F407" w14:textId="77777777" w:rsidR="00E57D6B" w:rsidRPr="00E57D6B" w:rsidRDefault="00E57D6B" w:rsidP="00D507AA">
      <w:pPr>
        <w:spacing w:line="240" w:lineRule="auto"/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3ACD7" w14:textId="77777777" w:rsidR="00680DA7" w:rsidRPr="00E57D6B" w:rsidRDefault="00680DA7" w:rsidP="00D507AA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0DA7" w:rsidRPr="00E57D6B" w:rsidSect="00E57D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0FF6"/>
    <w:multiLevelType w:val="hybridMultilevel"/>
    <w:tmpl w:val="45FA0E30"/>
    <w:lvl w:ilvl="0" w:tplc="6228E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2D16762"/>
    <w:multiLevelType w:val="hybridMultilevel"/>
    <w:tmpl w:val="695EC0E2"/>
    <w:lvl w:ilvl="0" w:tplc="2A2051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E4CCD"/>
    <w:multiLevelType w:val="hybridMultilevel"/>
    <w:tmpl w:val="C6380E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033B"/>
    <w:multiLevelType w:val="hybridMultilevel"/>
    <w:tmpl w:val="4B54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3E2"/>
    <w:multiLevelType w:val="hybridMultilevel"/>
    <w:tmpl w:val="B3D8EB00"/>
    <w:lvl w:ilvl="0" w:tplc="3F1687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43C5B"/>
    <w:multiLevelType w:val="hybridMultilevel"/>
    <w:tmpl w:val="8E44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3943">
    <w:abstractNumId w:val="4"/>
  </w:num>
  <w:num w:numId="2" w16cid:durableId="821970666">
    <w:abstractNumId w:val="2"/>
  </w:num>
  <w:num w:numId="3" w16cid:durableId="456030787">
    <w:abstractNumId w:val="3"/>
  </w:num>
  <w:num w:numId="4" w16cid:durableId="454298085">
    <w:abstractNumId w:val="5"/>
  </w:num>
  <w:num w:numId="5" w16cid:durableId="716320814">
    <w:abstractNumId w:val="1"/>
  </w:num>
  <w:num w:numId="6" w16cid:durableId="183837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6D"/>
    <w:rsid w:val="002532A4"/>
    <w:rsid w:val="0057270D"/>
    <w:rsid w:val="00680DA7"/>
    <w:rsid w:val="0077300A"/>
    <w:rsid w:val="0079529A"/>
    <w:rsid w:val="00844852"/>
    <w:rsid w:val="00B6781F"/>
    <w:rsid w:val="00BA716D"/>
    <w:rsid w:val="00D507AA"/>
    <w:rsid w:val="00E5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9DF1"/>
  <w15:chartTrackingRefBased/>
  <w15:docId w15:val="{8C867064-CEFE-45BF-9A1A-F86A92C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6B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E743-8FD9-4898-8F3C-9E34E18F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765</Words>
  <Characters>5199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2025-03-09T14:31:00Z</dcterms:created>
  <dcterms:modified xsi:type="dcterms:W3CDTF">2025-03-09T16:45:00Z</dcterms:modified>
</cp:coreProperties>
</file>