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599" w:rsidRDefault="00CE342B" w:rsidP="00C346C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Особенности </w:t>
      </w:r>
      <w:r w:rsidR="00BC72FB">
        <w:rPr>
          <w:rFonts w:ascii="Times New Roman" w:hAnsi="Times New Roman"/>
          <w:b/>
          <w:sz w:val="24"/>
          <w:szCs w:val="24"/>
          <w:lang w:val="ru-RU"/>
        </w:rPr>
        <w:t xml:space="preserve">латинской ритуальной </w:t>
      </w:r>
      <w:r>
        <w:rPr>
          <w:rFonts w:ascii="Times New Roman" w:hAnsi="Times New Roman"/>
          <w:b/>
          <w:sz w:val="24"/>
          <w:szCs w:val="24"/>
          <w:lang w:val="ru-RU"/>
        </w:rPr>
        <w:t>лексики</w:t>
      </w:r>
    </w:p>
    <w:p w:rsidR="00C346C6" w:rsidRPr="00243F70" w:rsidRDefault="00BC72FB" w:rsidP="00C346C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на примере обозначений жертвенников</w:t>
      </w:r>
    </w:p>
    <w:p w:rsidR="00C346C6" w:rsidRPr="00243F70" w:rsidRDefault="00C346C6" w:rsidP="00C346C6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243F70">
        <w:rPr>
          <w:rFonts w:ascii="Times New Roman" w:hAnsi="Times New Roman"/>
          <w:b/>
          <w:i/>
          <w:sz w:val="24"/>
          <w:szCs w:val="24"/>
          <w:lang w:val="ru-RU"/>
        </w:rPr>
        <w:t>Захарова Ирина Игоревна</w:t>
      </w:r>
    </w:p>
    <w:p w:rsidR="00243F70" w:rsidRDefault="00243F70" w:rsidP="00C346C6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Студент</w:t>
      </w:r>
    </w:p>
    <w:p w:rsidR="00243F70" w:rsidRDefault="00243F70" w:rsidP="00C346C6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Московский государственный университет</w:t>
      </w:r>
      <w:r w:rsidR="00C346C6" w:rsidRPr="00243F70">
        <w:rPr>
          <w:rFonts w:ascii="Times New Roman" w:hAnsi="Times New Roman"/>
          <w:i/>
          <w:sz w:val="24"/>
          <w:szCs w:val="24"/>
          <w:lang w:val="ru-RU"/>
        </w:rPr>
        <w:t xml:space="preserve"> имени М. В. Ломоносова, </w:t>
      </w:r>
    </w:p>
    <w:p w:rsidR="00C346C6" w:rsidRDefault="00243F70" w:rsidP="00C346C6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филологический факультет </w:t>
      </w:r>
      <w:r w:rsidR="00C346C6" w:rsidRPr="00243F70">
        <w:rPr>
          <w:rFonts w:ascii="Times New Roman" w:hAnsi="Times New Roman"/>
          <w:i/>
          <w:sz w:val="24"/>
          <w:szCs w:val="24"/>
          <w:lang w:val="ru-RU"/>
        </w:rPr>
        <w:t>Москва, Россия</w:t>
      </w:r>
    </w:p>
    <w:p w:rsidR="00243F70" w:rsidRPr="00243F70" w:rsidRDefault="00243F70" w:rsidP="00C346C6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243F70">
        <w:rPr>
          <w:rFonts w:ascii="Times New Roman" w:hAnsi="Times New Roman"/>
          <w:i/>
          <w:sz w:val="24"/>
          <w:szCs w:val="24"/>
          <w:lang w:val="en-US"/>
        </w:rPr>
        <w:t>E</w:t>
      </w:r>
      <w:r w:rsidRPr="00243F70">
        <w:rPr>
          <w:rFonts w:ascii="Times New Roman" w:hAnsi="Times New Roman"/>
          <w:i/>
          <w:sz w:val="24"/>
          <w:szCs w:val="24"/>
          <w:lang w:val="ru-RU"/>
        </w:rPr>
        <w:t>–</w:t>
      </w:r>
      <w:r w:rsidRPr="00243F70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243F70">
        <w:rPr>
          <w:rFonts w:ascii="Times New Roman" w:hAnsi="Times New Roman"/>
          <w:i/>
          <w:sz w:val="24"/>
          <w:szCs w:val="24"/>
          <w:lang w:val="ru-RU"/>
        </w:rPr>
        <w:t>: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irinazaharova</w:t>
      </w:r>
      <w:proofErr w:type="spellEnd"/>
      <w:r w:rsidRPr="00243F70">
        <w:rPr>
          <w:rFonts w:ascii="Times New Roman" w:hAnsi="Times New Roman"/>
          <w:i/>
          <w:sz w:val="24"/>
          <w:szCs w:val="24"/>
          <w:lang w:val="ru-RU"/>
        </w:rPr>
        <w:t>061@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gmail</w:t>
      </w:r>
      <w:proofErr w:type="spellEnd"/>
      <w:r w:rsidRPr="00243F70">
        <w:rPr>
          <w:rFonts w:ascii="Times New Roman" w:hAnsi="Times New Roman"/>
          <w:i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sz w:val="24"/>
          <w:szCs w:val="24"/>
          <w:lang w:val="en-US"/>
        </w:rPr>
        <w:t>com</w:t>
      </w:r>
    </w:p>
    <w:p w:rsidR="00CE342B" w:rsidRDefault="00CE342B" w:rsidP="00243F70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Изучение латинской ритуальной лексики связано с двумя особенностями. </w:t>
      </w:r>
      <w:r w:rsidR="00791AB5">
        <w:rPr>
          <w:rFonts w:ascii="Times New Roman" w:hAnsi="Times New Roman"/>
          <w:sz w:val="24"/>
          <w:szCs w:val="24"/>
          <w:lang w:val="ru-RU"/>
        </w:rPr>
        <w:t xml:space="preserve">Во-первых, </w:t>
      </w:r>
      <w:r>
        <w:rPr>
          <w:rFonts w:ascii="Times New Roman" w:hAnsi="Times New Roman"/>
          <w:sz w:val="24"/>
          <w:szCs w:val="24"/>
          <w:lang w:val="ru-RU"/>
        </w:rPr>
        <w:t xml:space="preserve">часть лексем совмещает </w:t>
      </w:r>
      <w:r w:rsidRPr="00CE342B">
        <w:rPr>
          <w:rFonts w:ascii="Times New Roman" w:hAnsi="Times New Roman"/>
          <w:sz w:val="24"/>
          <w:szCs w:val="24"/>
          <w:lang w:val="ru-RU"/>
        </w:rPr>
        <w:t>культовое терминологическое значение</w:t>
      </w:r>
      <w:r w:rsidRPr="00CE342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 общеупотребительными значениями. </w:t>
      </w:r>
      <w:r w:rsidR="00791AB5">
        <w:rPr>
          <w:rFonts w:ascii="Times New Roman" w:hAnsi="Times New Roman"/>
          <w:sz w:val="24"/>
          <w:szCs w:val="24"/>
          <w:lang w:val="ru-RU"/>
        </w:rPr>
        <w:t>Во-вторых</w:t>
      </w:r>
      <w:r>
        <w:rPr>
          <w:rFonts w:ascii="Times New Roman" w:hAnsi="Times New Roman"/>
          <w:sz w:val="24"/>
          <w:szCs w:val="24"/>
          <w:lang w:val="ru-RU"/>
        </w:rPr>
        <w:t xml:space="preserve">, сложная структура ритуала и </w:t>
      </w:r>
      <w:r w:rsidRPr="00CE342B">
        <w:rPr>
          <w:rFonts w:ascii="Times New Roman" w:hAnsi="Times New Roman"/>
          <w:sz w:val="24"/>
          <w:szCs w:val="24"/>
          <w:lang w:val="ru-RU"/>
        </w:rPr>
        <w:t>многообразие его компонентов</w:t>
      </w:r>
      <w:r>
        <w:rPr>
          <w:rFonts w:ascii="Times New Roman" w:hAnsi="Times New Roman"/>
          <w:sz w:val="24"/>
          <w:szCs w:val="24"/>
          <w:lang w:val="ru-RU"/>
        </w:rPr>
        <w:t xml:space="preserve"> порождают смешения в</w:t>
      </w:r>
      <w:r w:rsidRPr="00CE342B">
        <w:rPr>
          <w:rFonts w:ascii="Times New Roman" w:hAnsi="Times New Roman"/>
          <w:sz w:val="24"/>
          <w:szCs w:val="24"/>
          <w:lang w:val="ru-RU"/>
        </w:rPr>
        <w:t xml:space="preserve"> употреблении лексики</w:t>
      </w:r>
      <w:r>
        <w:rPr>
          <w:rFonts w:ascii="Times New Roman" w:hAnsi="Times New Roman"/>
          <w:sz w:val="24"/>
          <w:szCs w:val="24"/>
          <w:lang w:val="ru-RU"/>
        </w:rPr>
        <w:t>, появление новых контекстуальных значений, что иногда приводит к потере связи с де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 xml:space="preserve">нотатом. </w:t>
      </w:r>
    </w:p>
    <w:p w:rsidR="00243F70" w:rsidRDefault="00C346C6" w:rsidP="00243F70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Данная работа посвящена </w:t>
      </w:r>
      <w:r w:rsidR="00BC72FB">
        <w:rPr>
          <w:rFonts w:ascii="Times New Roman" w:hAnsi="Times New Roman"/>
          <w:sz w:val="24"/>
          <w:szCs w:val="24"/>
          <w:lang w:val="ru-RU"/>
        </w:rPr>
        <w:t>обзору попыток</w:t>
      </w:r>
      <w:r w:rsidR="00243F70">
        <w:rPr>
          <w:rFonts w:ascii="Times New Roman" w:hAnsi="Times New Roman"/>
          <w:sz w:val="24"/>
          <w:szCs w:val="24"/>
          <w:lang w:val="ru-RU"/>
        </w:rPr>
        <w:t xml:space="preserve"> разграничения </w:t>
      </w:r>
      <w:r w:rsidR="00B6324E">
        <w:rPr>
          <w:rFonts w:ascii="Times New Roman" w:hAnsi="Times New Roman"/>
          <w:sz w:val="24"/>
          <w:szCs w:val="24"/>
          <w:lang w:val="ru-RU"/>
        </w:rPr>
        <w:t xml:space="preserve">и конкретизации значений некоторых латинских ритуальных терминов для обозначения жертвенников </w:t>
      </w:r>
      <w:r w:rsidR="00243F70">
        <w:rPr>
          <w:rFonts w:ascii="Times New Roman" w:hAnsi="Times New Roman"/>
          <w:sz w:val="24"/>
          <w:szCs w:val="24"/>
          <w:lang w:val="ru-RU"/>
        </w:rPr>
        <w:t>в связи со сферой</w:t>
      </w:r>
      <w:r w:rsidR="00B6324E">
        <w:rPr>
          <w:rFonts w:ascii="Times New Roman" w:hAnsi="Times New Roman"/>
          <w:sz w:val="24"/>
          <w:szCs w:val="24"/>
          <w:lang w:val="ru-RU"/>
        </w:rPr>
        <w:t xml:space="preserve"> их применения.</w:t>
      </w:r>
    </w:p>
    <w:p w:rsidR="00243F70" w:rsidRPr="00243F70" w:rsidRDefault="00243F70" w:rsidP="00243F70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243F70">
        <w:rPr>
          <w:rFonts w:ascii="Times New Roman" w:hAnsi="Times New Roman"/>
          <w:sz w:val="24"/>
          <w:szCs w:val="24"/>
          <w:lang w:val="ru-RU"/>
        </w:rPr>
        <w:t xml:space="preserve">Подчинение строгим правилам культа требовало </w:t>
      </w:r>
      <w:r w:rsidR="00B6324E">
        <w:rPr>
          <w:rFonts w:ascii="Times New Roman" w:hAnsi="Times New Roman"/>
          <w:sz w:val="24"/>
          <w:szCs w:val="24"/>
          <w:lang w:val="ru-RU"/>
        </w:rPr>
        <w:t xml:space="preserve">от римлян </w:t>
      </w:r>
      <w:r w:rsidRPr="00243F70">
        <w:rPr>
          <w:rFonts w:ascii="Times New Roman" w:hAnsi="Times New Roman"/>
          <w:sz w:val="24"/>
          <w:szCs w:val="24"/>
          <w:lang w:val="ru-RU"/>
        </w:rPr>
        <w:t xml:space="preserve">особого отношения к священным местам: освящение построек, устройство их планировки, защита природных божественных мест и т. д. Многочисленность культовых мест и частей их планировки порождала разветвленную систему наименований: </w:t>
      </w:r>
      <w:proofErr w:type="spellStart"/>
      <w:r w:rsidRPr="00B6324E">
        <w:rPr>
          <w:rFonts w:ascii="Times New Roman" w:hAnsi="Times New Roman"/>
          <w:i/>
          <w:sz w:val="24"/>
          <w:szCs w:val="24"/>
          <w:lang w:val="ru-RU"/>
        </w:rPr>
        <w:t>templum</w:t>
      </w:r>
      <w:proofErr w:type="spellEnd"/>
      <w:r w:rsidRPr="00B6324E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B6324E">
        <w:rPr>
          <w:rFonts w:ascii="Times New Roman" w:hAnsi="Times New Roman"/>
          <w:i/>
          <w:sz w:val="24"/>
          <w:szCs w:val="24"/>
          <w:lang w:val="ru-RU"/>
        </w:rPr>
        <w:t>aedes</w:t>
      </w:r>
      <w:proofErr w:type="spellEnd"/>
      <w:r w:rsidRPr="00B6324E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B6324E">
        <w:rPr>
          <w:rFonts w:ascii="Times New Roman" w:hAnsi="Times New Roman"/>
          <w:i/>
          <w:sz w:val="24"/>
          <w:szCs w:val="24"/>
          <w:lang w:val="ru-RU"/>
        </w:rPr>
        <w:t>delubrum</w:t>
      </w:r>
      <w:proofErr w:type="spellEnd"/>
      <w:r w:rsidRPr="00B6324E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B6324E">
        <w:rPr>
          <w:rFonts w:ascii="Times New Roman" w:hAnsi="Times New Roman"/>
          <w:i/>
          <w:sz w:val="24"/>
          <w:szCs w:val="24"/>
          <w:lang w:val="ru-RU"/>
        </w:rPr>
        <w:t>fanum</w:t>
      </w:r>
      <w:proofErr w:type="spellEnd"/>
      <w:r w:rsidRPr="00B6324E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B6324E">
        <w:rPr>
          <w:rFonts w:ascii="Times New Roman" w:hAnsi="Times New Roman"/>
          <w:i/>
          <w:sz w:val="24"/>
          <w:szCs w:val="24"/>
          <w:lang w:val="ru-RU"/>
        </w:rPr>
        <w:t>sacellum</w:t>
      </w:r>
      <w:proofErr w:type="spellEnd"/>
      <w:r w:rsidRPr="00B6324E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B6324E">
        <w:rPr>
          <w:rFonts w:ascii="Times New Roman" w:hAnsi="Times New Roman"/>
          <w:i/>
          <w:sz w:val="24"/>
          <w:szCs w:val="24"/>
          <w:lang w:val="ru-RU"/>
        </w:rPr>
        <w:t>sacrarium</w:t>
      </w:r>
      <w:proofErr w:type="spellEnd"/>
      <w:r w:rsidRPr="00B6324E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B6324E">
        <w:rPr>
          <w:rFonts w:ascii="Times New Roman" w:hAnsi="Times New Roman"/>
          <w:i/>
          <w:sz w:val="24"/>
          <w:szCs w:val="24"/>
          <w:lang w:val="ru-RU"/>
        </w:rPr>
        <w:t>area</w:t>
      </w:r>
      <w:proofErr w:type="spellEnd"/>
      <w:r w:rsidRPr="00B6324E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B6324E">
        <w:rPr>
          <w:rFonts w:ascii="Times New Roman" w:hAnsi="Times New Roman"/>
          <w:i/>
          <w:sz w:val="24"/>
          <w:szCs w:val="24"/>
          <w:lang w:val="ru-RU"/>
        </w:rPr>
        <w:t>cella</w:t>
      </w:r>
      <w:proofErr w:type="spellEnd"/>
      <w:r w:rsidRPr="00B6324E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B6324E">
        <w:rPr>
          <w:rFonts w:ascii="Times New Roman" w:hAnsi="Times New Roman"/>
          <w:i/>
          <w:sz w:val="24"/>
          <w:szCs w:val="24"/>
          <w:lang w:val="ru-RU"/>
        </w:rPr>
        <w:t>adytum</w:t>
      </w:r>
      <w:proofErr w:type="spellEnd"/>
      <w:r w:rsidR="00BD18D5">
        <w:rPr>
          <w:rFonts w:ascii="Times New Roman" w:hAnsi="Times New Roman"/>
          <w:sz w:val="24"/>
          <w:szCs w:val="24"/>
          <w:lang w:val="ru-RU"/>
        </w:rPr>
        <w:t xml:space="preserve"> [2</w:t>
      </w:r>
      <w:r w:rsidRPr="00243F70">
        <w:rPr>
          <w:rFonts w:ascii="Times New Roman" w:hAnsi="Times New Roman"/>
          <w:sz w:val="24"/>
          <w:szCs w:val="24"/>
          <w:lang w:val="ru-RU"/>
        </w:rPr>
        <w:t xml:space="preserve">]. </w:t>
      </w:r>
      <w:proofErr w:type="gramStart"/>
      <w:r w:rsidRPr="00243F70">
        <w:rPr>
          <w:rFonts w:ascii="Times New Roman" w:hAnsi="Times New Roman"/>
          <w:sz w:val="24"/>
          <w:szCs w:val="24"/>
          <w:lang w:val="ru-RU"/>
        </w:rPr>
        <w:t xml:space="preserve">Такое разнообразие привело к </w:t>
      </w:r>
      <w:r w:rsidR="00B6324E">
        <w:rPr>
          <w:rFonts w:ascii="Times New Roman" w:hAnsi="Times New Roman"/>
          <w:sz w:val="24"/>
          <w:szCs w:val="24"/>
          <w:lang w:val="ru-RU"/>
        </w:rPr>
        <w:t xml:space="preserve">смешению значений терминов и, как следствие, к их </w:t>
      </w:r>
      <w:r w:rsidRPr="00243F70">
        <w:rPr>
          <w:rFonts w:ascii="Times New Roman" w:hAnsi="Times New Roman"/>
          <w:sz w:val="24"/>
          <w:szCs w:val="24"/>
          <w:lang w:val="ru-RU"/>
        </w:rPr>
        <w:t>непоследовательному употреблению античными авторами</w:t>
      </w:r>
      <w:proofErr w:type="gramEnd"/>
      <w:r w:rsidRPr="00243F70">
        <w:rPr>
          <w:rFonts w:ascii="Times New Roman" w:hAnsi="Times New Roman"/>
          <w:sz w:val="24"/>
          <w:szCs w:val="24"/>
          <w:lang w:val="ru-RU"/>
        </w:rPr>
        <w:t xml:space="preserve">. Минимальным и наиболее важным строением для свершения культа являлся </w:t>
      </w:r>
      <w:r w:rsidR="00B6324E">
        <w:rPr>
          <w:rFonts w:ascii="Times New Roman" w:hAnsi="Times New Roman"/>
          <w:sz w:val="24"/>
          <w:szCs w:val="24"/>
          <w:lang w:val="ru-RU"/>
        </w:rPr>
        <w:t>жертвенник</w:t>
      </w:r>
      <w:r w:rsidRPr="00243F7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6324E">
        <w:rPr>
          <w:rFonts w:ascii="Times New Roman" w:hAnsi="Times New Roman"/>
          <w:sz w:val="24"/>
          <w:szCs w:val="24"/>
          <w:lang w:val="ru-RU"/>
        </w:rPr>
        <w:t>чаще всего принимающий вид алтаря и очага</w:t>
      </w:r>
      <w:r w:rsidR="001144AA">
        <w:rPr>
          <w:rFonts w:ascii="Times New Roman" w:hAnsi="Times New Roman"/>
          <w:sz w:val="24"/>
          <w:szCs w:val="24"/>
          <w:lang w:val="ru-RU"/>
        </w:rPr>
        <w:t xml:space="preserve">. Данные культовые элементы </w:t>
      </w:r>
      <w:r w:rsidR="00B6324E">
        <w:rPr>
          <w:rFonts w:ascii="Times New Roman" w:hAnsi="Times New Roman"/>
          <w:sz w:val="24"/>
          <w:szCs w:val="24"/>
          <w:lang w:val="ru-RU"/>
        </w:rPr>
        <w:t>представлены</w:t>
      </w:r>
      <w:r w:rsidRPr="00243F70">
        <w:rPr>
          <w:rFonts w:ascii="Times New Roman" w:hAnsi="Times New Roman"/>
          <w:sz w:val="24"/>
          <w:szCs w:val="24"/>
          <w:lang w:val="ru-RU"/>
        </w:rPr>
        <w:t xml:space="preserve"> в текстах </w:t>
      </w:r>
      <w:r w:rsidR="00B6324E">
        <w:rPr>
          <w:rFonts w:ascii="Times New Roman" w:hAnsi="Times New Roman"/>
          <w:sz w:val="24"/>
          <w:szCs w:val="24"/>
          <w:lang w:val="ru-RU"/>
        </w:rPr>
        <w:t>следующими</w:t>
      </w:r>
      <w:r w:rsidRPr="00243F70">
        <w:rPr>
          <w:rFonts w:ascii="Times New Roman" w:hAnsi="Times New Roman"/>
          <w:sz w:val="24"/>
          <w:szCs w:val="24"/>
          <w:lang w:val="ru-RU"/>
        </w:rPr>
        <w:t xml:space="preserve"> лексемами: </w:t>
      </w:r>
      <w:proofErr w:type="spellStart"/>
      <w:r w:rsidRPr="00B6324E">
        <w:rPr>
          <w:rFonts w:ascii="Times New Roman" w:hAnsi="Times New Roman"/>
          <w:i/>
          <w:sz w:val="24"/>
          <w:szCs w:val="24"/>
          <w:lang w:val="ru-RU"/>
        </w:rPr>
        <w:t>ara</w:t>
      </w:r>
      <w:proofErr w:type="spellEnd"/>
      <w:r w:rsidR="00B6324E">
        <w:rPr>
          <w:rFonts w:ascii="Times New Roman" w:hAnsi="Times New Roman"/>
          <w:sz w:val="24"/>
          <w:szCs w:val="24"/>
          <w:lang w:val="ru-RU"/>
        </w:rPr>
        <w:t>,</w:t>
      </w:r>
      <w:r w:rsidRPr="00243F7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6324E">
        <w:rPr>
          <w:rFonts w:ascii="Times New Roman" w:hAnsi="Times New Roman"/>
          <w:i/>
          <w:sz w:val="24"/>
          <w:szCs w:val="24"/>
          <w:lang w:val="ru-RU"/>
        </w:rPr>
        <w:t>altaria</w:t>
      </w:r>
      <w:proofErr w:type="spellEnd"/>
      <w:r w:rsidR="00B6324E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B6324E" w:rsidRPr="00B6324E">
        <w:rPr>
          <w:rFonts w:ascii="Times New Roman" w:hAnsi="Times New Roman"/>
          <w:i/>
          <w:sz w:val="24"/>
          <w:szCs w:val="24"/>
          <w:lang w:val="ru-RU"/>
        </w:rPr>
        <w:t>focus</w:t>
      </w:r>
      <w:proofErr w:type="spellEnd"/>
      <w:r w:rsidR="00B6324E">
        <w:rPr>
          <w:rFonts w:ascii="Times New Roman" w:hAnsi="Times New Roman"/>
          <w:sz w:val="24"/>
          <w:szCs w:val="24"/>
          <w:lang w:val="ru-RU"/>
        </w:rPr>
        <w:t>.</w:t>
      </w:r>
    </w:p>
    <w:p w:rsidR="001144AA" w:rsidRDefault="00243F70" w:rsidP="00243F70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243F70">
        <w:rPr>
          <w:rFonts w:ascii="Times New Roman" w:hAnsi="Times New Roman"/>
          <w:sz w:val="24"/>
          <w:szCs w:val="24"/>
          <w:lang w:val="ru-RU"/>
        </w:rPr>
        <w:t>Первые замечания об использовании обозначений алтаря (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ara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altaria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>) и очага (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focus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) находим уже у </w:t>
      </w:r>
      <w:proofErr w:type="spellStart"/>
      <w:r w:rsidRPr="00243F70">
        <w:rPr>
          <w:rFonts w:ascii="Times New Roman" w:hAnsi="Times New Roman"/>
          <w:sz w:val="24"/>
          <w:szCs w:val="24"/>
          <w:lang w:val="ru-RU"/>
        </w:rPr>
        <w:t>Варрона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, которого цитирует </w:t>
      </w:r>
      <w:proofErr w:type="spellStart"/>
      <w:r w:rsidRPr="00243F70">
        <w:rPr>
          <w:rFonts w:ascii="Times New Roman" w:hAnsi="Times New Roman"/>
          <w:sz w:val="24"/>
          <w:szCs w:val="24"/>
          <w:lang w:val="ru-RU"/>
        </w:rPr>
        <w:t>Сервий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 в комментарии к Буколикам Вергилия: </w:t>
      </w:r>
      <w:proofErr w:type="spellStart"/>
      <w:proofErr w:type="gramStart"/>
      <w:r w:rsidRPr="001144AA">
        <w:rPr>
          <w:rFonts w:ascii="Times New Roman" w:hAnsi="Times New Roman"/>
          <w:i/>
          <w:sz w:val="24"/>
          <w:szCs w:val="24"/>
          <w:lang w:val="ru-RU"/>
        </w:rPr>
        <w:t>Varro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diis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superis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b/>
          <w:i/>
          <w:sz w:val="24"/>
          <w:szCs w:val="24"/>
          <w:lang w:val="ru-RU"/>
        </w:rPr>
        <w:t>altaria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terrestribus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b/>
          <w:i/>
          <w:sz w:val="24"/>
          <w:szCs w:val="24"/>
          <w:lang w:val="ru-RU"/>
        </w:rPr>
        <w:t>aras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inferis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b/>
          <w:i/>
          <w:sz w:val="24"/>
          <w:szCs w:val="24"/>
          <w:lang w:val="ru-RU"/>
        </w:rPr>
        <w:t>focos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dicari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adfirmat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(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Serv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>.</w:t>
      </w:r>
      <w:proofErr w:type="gram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proofErr w:type="gramStart"/>
      <w:r w:rsidRPr="001144AA">
        <w:rPr>
          <w:rFonts w:ascii="Times New Roman" w:hAnsi="Times New Roman"/>
          <w:i/>
          <w:sz w:val="24"/>
          <w:szCs w:val="24"/>
          <w:lang w:val="ru-RU"/>
        </w:rPr>
        <w:t>Buc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>. 5.66)</w:t>
      </w:r>
      <w:r w:rsidRPr="00243F70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243F7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243F70">
        <w:rPr>
          <w:rFonts w:ascii="Times New Roman" w:hAnsi="Times New Roman"/>
          <w:sz w:val="24"/>
          <w:szCs w:val="24"/>
          <w:lang w:val="ru-RU"/>
        </w:rPr>
        <w:t xml:space="preserve">Такое категоричное распределение жертвенников относительно иерархии богов, которым они посвящаются, а именно: вышним –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altaria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, наземным –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ara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, подземным –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focus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, кажется четким и логичным, но скрывает противоречие, ведь по канону ритуала хтоническим божествам жертвы приносили чаще на земле и в земле, чем сжигали на алтаре, а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focus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 использовался как обязательный атрибут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praefatio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>, характерного этапа жертвоприношения любому богу, а не только подземному.</w:t>
      </w:r>
      <w:proofErr w:type="gramEnd"/>
      <w:r w:rsidRPr="00243F70">
        <w:rPr>
          <w:rFonts w:ascii="Times New Roman" w:hAnsi="Times New Roman"/>
          <w:sz w:val="24"/>
          <w:szCs w:val="24"/>
          <w:lang w:val="ru-RU"/>
        </w:rPr>
        <w:t xml:space="preserve"> А в труде </w:t>
      </w:r>
      <w:proofErr w:type="spellStart"/>
      <w:r w:rsidRPr="00243F70">
        <w:rPr>
          <w:rFonts w:ascii="Times New Roman" w:hAnsi="Times New Roman"/>
          <w:sz w:val="24"/>
          <w:szCs w:val="24"/>
          <w:lang w:val="ru-RU"/>
        </w:rPr>
        <w:t>Варрона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 «О сельском хозяйстве» несколько фрагментов в большей степени опровергают, нежели подтверждают указанное выше распределение: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Itaque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propterea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institutum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diversa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de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causa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ut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ex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caprino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genere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ad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alii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dei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b/>
          <w:i/>
          <w:sz w:val="24"/>
          <w:szCs w:val="24"/>
          <w:lang w:val="ru-RU"/>
        </w:rPr>
        <w:t>aram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hostia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adduceretur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ad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alii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non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sacrificaretur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. </w:t>
      </w:r>
      <w:r w:rsidRPr="001144AA">
        <w:rPr>
          <w:rFonts w:ascii="Times New Roman" w:hAnsi="Times New Roman"/>
          <w:i/>
          <w:sz w:val="24"/>
          <w:szCs w:val="24"/>
          <w:lang w:val="en-US"/>
        </w:rPr>
        <w:t xml:space="preserve">&lt;…&gt; Sic factum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en-US"/>
        </w:rPr>
        <w:t>ut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en-US"/>
        </w:rPr>
        <w:t>Libero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en-US"/>
        </w:rPr>
        <w:t>patri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en-US"/>
        </w:rPr>
        <w:t>repertori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en-US"/>
        </w:rPr>
        <w:t>vitis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en-US"/>
        </w:rPr>
        <w:t>hirci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en-US"/>
        </w:rPr>
        <w:t>immolarentur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en-US"/>
        </w:rPr>
        <w:t xml:space="preserve"> (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en-US"/>
        </w:rPr>
        <w:t>Varr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proofErr w:type="gramStart"/>
      <w:r w:rsidRPr="001144AA">
        <w:rPr>
          <w:rFonts w:ascii="Times New Roman" w:hAnsi="Times New Roman"/>
          <w:i/>
          <w:sz w:val="24"/>
          <w:szCs w:val="24"/>
          <w:lang w:val="en-US"/>
        </w:rPr>
        <w:t>R.R. 1.2).</w:t>
      </w:r>
      <w:proofErr w:type="gramEnd"/>
      <w:r w:rsidRPr="00243F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3F70">
        <w:rPr>
          <w:rFonts w:ascii="Times New Roman" w:hAnsi="Times New Roman"/>
          <w:sz w:val="24"/>
          <w:szCs w:val="24"/>
          <w:lang w:val="ru-RU"/>
        </w:rPr>
        <w:t xml:space="preserve">Описывая особенности козлов, </w:t>
      </w:r>
      <w:proofErr w:type="spellStart"/>
      <w:r w:rsidRPr="00243F70">
        <w:rPr>
          <w:rFonts w:ascii="Times New Roman" w:hAnsi="Times New Roman"/>
          <w:sz w:val="24"/>
          <w:szCs w:val="24"/>
          <w:lang w:val="ru-RU"/>
        </w:rPr>
        <w:t>Варрон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 объясняет причины заклания их в жертву </w:t>
      </w:r>
      <w:proofErr w:type="spellStart"/>
      <w:r w:rsidRPr="00243F70">
        <w:rPr>
          <w:rFonts w:ascii="Times New Roman" w:hAnsi="Times New Roman"/>
          <w:sz w:val="24"/>
          <w:szCs w:val="24"/>
          <w:lang w:val="ru-RU"/>
        </w:rPr>
        <w:t>Либеру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, первоначально италийскому богу плодородия и виноградарства, который впоследствии стал отождествляться с древнегреческим культом Вакха-Диониса. Характер природы бога двойственен, т. к. элементы его культа носят хтонический характер, поэтому посвящение ему алтаря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ara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 спорно. </w:t>
      </w:r>
    </w:p>
    <w:p w:rsidR="00243F70" w:rsidRPr="00243F70" w:rsidRDefault="00243F70" w:rsidP="00243F70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243F70">
        <w:rPr>
          <w:rFonts w:ascii="Times New Roman" w:hAnsi="Times New Roman"/>
          <w:sz w:val="24"/>
          <w:szCs w:val="24"/>
          <w:lang w:val="ru-RU"/>
        </w:rPr>
        <w:t xml:space="preserve">Благодаря комментариям </w:t>
      </w:r>
      <w:proofErr w:type="spellStart"/>
      <w:r w:rsidRPr="00243F70">
        <w:rPr>
          <w:rFonts w:ascii="Times New Roman" w:hAnsi="Times New Roman"/>
          <w:sz w:val="24"/>
          <w:szCs w:val="24"/>
          <w:lang w:val="ru-RU"/>
        </w:rPr>
        <w:t>Сервия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 к «Энеиде» и «Буколикам» Вергилия можно систематизировать </w:t>
      </w:r>
      <w:r w:rsidR="00EA1599">
        <w:rPr>
          <w:rFonts w:ascii="Times New Roman" w:hAnsi="Times New Roman"/>
          <w:sz w:val="24"/>
          <w:szCs w:val="24"/>
          <w:lang w:val="ru-RU"/>
        </w:rPr>
        <w:t>античные</w:t>
      </w:r>
      <w:r w:rsidRPr="00243F70">
        <w:rPr>
          <w:rFonts w:ascii="Times New Roman" w:hAnsi="Times New Roman"/>
          <w:sz w:val="24"/>
          <w:szCs w:val="24"/>
          <w:lang w:val="ru-RU"/>
        </w:rPr>
        <w:t xml:space="preserve"> представления об употреблении интересующих нас </w:t>
      </w:r>
      <w:r w:rsidRPr="00243F70">
        <w:rPr>
          <w:rFonts w:ascii="Times New Roman" w:hAnsi="Times New Roman"/>
          <w:sz w:val="24"/>
          <w:szCs w:val="24"/>
          <w:lang w:val="ru-RU"/>
        </w:rPr>
        <w:lastRenderedPageBreak/>
        <w:t xml:space="preserve">ритуальных терминов. </w:t>
      </w:r>
      <w:proofErr w:type="gramStart"/>
      <w:r w:rsidRPr="00243F70">
        <w:rPr>
          <w:rFonts w:ascii="Times New Roman" w:hAnsi="Times New Roman"/>
          <w:sz w:val="24"/>
          <w:szCs w:val="24"/>
          <w:lang w:val="ru-RU"/>
        </w:rPr>
        <w:t xml:space="preserve">В том же комментарии к «Буколикам» есть продолжение: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alii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‘</w:t>
      </w:r>
      <w:proofErr w:type="spellStart"/>
      <w:r w:rsidRPr="001144AA">
        <w:rPr>
          <w:rFonts w:ascii="Times New Roman" w:hAnsi="Times New Roman"/>
          <w:b/>
          <w:i/>
          <w:sz w:val="24"/>
          <w:szCs w:val="24"/>
          <w:lang w:val="ru-RU"/>
        </w:rPr>
        <w:t>altaria</w:t>
      </w:r>
      <w:proofErr w:type="spellEnd"/>
      <w:r w:rsidRPr="001144AA">
        <w:rPr>
          <w:rFonts w:ascii="Times New Roman" w:hAnsi="Times New Roman"/>
          <w:b/>
          <w:i/>
          <w:sz w:val="24"/>
          <w:szCs w:val="24"/>
          <w:lang w:val="ru-RU"/>
        </w:rPr>
        <w:t>’</w:t>
      </w:r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eminentia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ararum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et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ipsa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libamina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ut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«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paterisque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b/>
          <w:i/>
          <w:sz w:val="24"/>
          <w:szCs w:val="24"/>
          <w:lang w:val="ru-RU"/>
        </w:rPr>
        <w:t>altaria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libant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>» (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Serv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>.</w:t>
      </w:r>
      <w:proofErr w:type="gram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Buc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>. 5.66),</w:t>
      </w:r>
      <w:r w:rsidRPr="00243F70">
        <w:rPr>
          <w:rFonts w:ascii="Times New Roman" w:hAnsi="Times New Roman"/>
          <w:sz w:val="24"/>
          <w:szCs w:val="24"/>
          <w:lang w:val="ru-RU"/>
        </w:rPr>
        <w:t xml:space="preserve"> в котором </w:t>
      </w:r>
      <w:proofErr w:type="spellStart"/>
      <w:r w:rsidRPr="00243F70">
        <w:rPr>
          <w:rFonts w:ascii="Times New Roman" w:hAnsi="Times New Roman"/>
          <w:sz w:val="24"/>
          <w:szCs w:val="24"/>
          <w:lang w:val="ru-RU"/>
        </w:rPr>
        <w:t>Сервий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 отсылает к стиху «Энеиды» со спорной трактовкой контекста: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dant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fruges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manibus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salsas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et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tempora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ferro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summa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notant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pecudum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paterisque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BC72FB">
        <w:rPr>
          <w:rFonts w:ascii="Times New Roman" w:hAnsi="Times New Roman"/>
          <w:b/>
          <w:i/>
          <w:sz w:val="24"/>
          <w:szCs w:val="24"/>
          <w:lang w:val="ru-RU"/>
        </w:rPr>
        <w:t>altaria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libant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(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Verg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. </w:t>
      </w:r>
      <w:proofErr w:type="spellStart"/>
      <w:proofErr w:type="gramStart"/>
      <w:r w:rsidRPr="001144AA">
        <w:rPr>
          <w:rFonts w:ascii="Times New Roman" w:hAnsi="Times New Roman"/>
          <w:i/>
          <w:sz w:val="24"/>
          <w:szCs w:val="24"/>
          <w:lang w:val="ru-RU"/>
        </w:rPr>
        <w:t>Aen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>. 12.173-174).</w:t>
      </w:r>
      <w:proofErr w:type="gramEnd"/>
      <w:r w:rsidRPr="00243F7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243F70">
        <w:rPr>
          <w:rFonts w:ascii="Times New Roman" w:hAnsi="Times New Roman"/>
          <w:sz w:val="24"/>
          <w:szCs w:val="24"/>
          <w:lang w:val="ru-RU"/>
        </w:rPr>
        <w:t xml:space="preserve">Пояснение из комментария к этому фрагменту частично перекликается с еще одним комментарием: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superorum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et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‘</w:t>
      </w:r>
      <w:proofErr w:type="spellStart"/>
      <w:r w:rsidRPr="00BC72FB">
        <w:rPr>
          <w:rFonts w:ascii="Times New Roman" w:hAnsi="Times New Roman"/>
          <w:b/>
          <w:i/>
          <w:sz w:val="24"/>
          <w:szCs w:val="24"/>
          <w:lang w:val="ru-RU"/>
        </w:rPr>
        <w:t>arae</w:t>
      </w:r>
      <w:proofErr w:type="spellEnd"/>
      <w:r w:rsidRPr="00BC72FB">
        <w:rPr>
          <w:rFonts w:ascii="Times New Roman" w:hAnsi="Times New Roman"/>
          <w:b/>
          <w:i/>
          <w:sz w:val="24"/>
          <w:szCs w:val="24"/>
          <w:lang w:val="ru-RU"/>
        </w:rPr>
        <w:t>’</w:t>
      </w:r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sunt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et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‘</w:t>
      </w:r>
      <w:proofErr w:type="spellStart"/>
      <w:r w:rsidRPr="00BC72FB">
        <w:rPr>
          <w:rFonts w:ascii="Times New Roman" w:hAnsi="Times New Roman"/>
          <w:b/>
          <w:i/>
          <w:sz w:val="24"/>
          <w:szCs w:val="24"/>
          <w:lang w:val="ru-RU"/>
        </w:rPr>
        <w:t>altaria</w:t>
      </w:r>
      <w:proofErr w:type="spellEnd"/>
      <w:r w:rsidRPr="00BC72FB">
        <w:rPr>
          <w:rFonts w:ascii="Times New Roman" w:hAnsi="Times New Roman"/>
          <w:b/>
          <w:i/>
          <w:sz w:val="24"/>
          <w:szCs w:val="24"/>
          <w:lang w:val="ru-RU"/>
        </w:rPr>
        <w:t>’</w:t>
      </w:r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inferorum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tantum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‘</w:t>
      </w:r>
      <w:proofErr w:type="spellStart"/>
      <w:r w:rsidRPr="00BC72FB">
        <w:rPr>
          <w:rFonts w:ascii="Times New Roman" w:hAnsi="Times New Roman"/>
          <w:b/>
          <w:i/>
          <w:sz w:val="24"/>
          <w:szCs w:val="24"/>
          <w:lang w:val="ru-RU"/>
        </w:rPr>
        <w:t>arae</w:t>
      </w:r>
      <w:proofErr w:type="spellEnd"/>
      <w:r w:rsidRPr="00BC72FB">
        <w:rPr>
          <w:rFonts w:ascii="Times New Roman" w:hAnsi="Times New Roman"/>
          <w:b/>
          <w:i/>
          <w:sz w:val="24"/>
          <w:szCs w:val="24"/>
          <w:lang w:val="ru-RU"/>
        </w:rPr>
        <w:t>’</w:t>
      </w:r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(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Serv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>.</w:t>
      </w:r>
      <w:proofErr w:type="gramEnd"/>
      <w:r w:rsidRPr="001144A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proofErr w:type="gramStart"/>
      <w:r w:rsidRPr="001144AA">
        <w:rPr>
          <w:rFonts w:ascii="Times New Roman" w:hAnsi="Times New Roman"/>
          <w:i/>
          <w:sz w:val="24"/>
          <w:szCs w:val="24"/>
          <w:lang w:val="ru-RU"/>
        </w:rPr>
        <w:t>Aen</w:t>
      </w:r>
      <w:proofErr w:type="spellEnd"/>
      <w:r w:rsidRPr="001144AA">
        <w:rPr>
          <w:rFonts w:ascii="Times New Roman" w:hAnsi="Times New Roman"/>
          <w:i/>
          <w:sz w:val="24"/>
          <w:szCs w:val="24"/>
          <w:lang w:val="ru-RU"/>
        </w:rPr>
        <w:t>. 2.515).</w:t>
      </w:r>
      <w:proofErr w:type="gramEnd"/>
      <w:r w:rsidRPr="00243F7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1144AA">
        <w:rPr>
          <w:rFonts w:ascii="Times New Roman" w:hAnsi="Times New Roman"/>
          <w:sz w:val="24"/>
          <w:szCs w:val="24"/>
          <w:lang w:val="ru-RU"/>
        </w:rPr>
        <w:t xml:space="preserve">Подводя </w:t>
      </w:r>
      <w:r w:rsidRPr="00243F70">
        <w:rPr>
          <w:rFonts w:ascii="Times New Roman" w:hAnsi="Times New Roman"/>
          <w:sz w:val="24"/>
          <w:szCs w:val="24"/>
          <w:lang w:val="ru-RU"/>
        </w:rPr>
        <w:t xml:space="preserve">итог всем взглядам, найденным у </w:t>
      </w:r>
      <w:proofErr w:type="spellStart"/>
      <w:r w:rsidRPr="00243F70">
        <w:rPr>
          <w:rFonts w:ascii="Times New Roman" w:hAnsi="Times New Roman"/>
          <w:sz w:val="24"/>
          <w:szCs w:val="24"/>
          <w:lang w:val="ru-RU"/>
        </w:rPr>
        <w:t>Сервия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144AA">
        <w:rPr>
          <w:rFonts w:ascii="Times New Roman" w:hAnsi="Times New Roman"/>
          <w:sz w:val="24"/>
          <w:szCs w:val="24"/>
          <w:lang w:val="ru-RU"/>
        </w:rPr>
        <w:t>приходим к</w:t>
      </w:r>
      <w:r w:rsidRPr="00243F7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144AA">
        <w:rPr>
          <w:rFonts w:ascii="Times New Roman" w:hAnsi="Times New Roman"/>
          <w:sz w:val="24"/>
          <w:szCs w:val="24"/>
          <w:lang w:val="ru-RU"/>
        </w:rPr>
        <w:t xml:space="preserve">такой систематизации: </w:t>
      </w:r>
      <w:proofErr w:type="spellStart"/>
      <w:r w:rsidR="001144AA" w:rsidRPr="001144AA">
        <w:rPr>
          <w:rFonts w:ascii="Times New Roman" w:hAnsi="Times New Roman"/>
          <w:i/>
          <w:sz w:val="24"/>
          <w:szCs w:val="24"/>
          <w:lang w:val="ru-RU"/>
        </w:rPr>
        <w:t>ara</w:t>
      </w:r>
      <w:proofErr w:type="spellEnd"/>
      <w:r w:rsidR="001144AA" w:rsidRPr="00243F7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3F70">
        <w:rPr>
          <w:rFonts w:ascii="Times New Roman" w:hAnsi="Times New Roman"/>
          <w:sz w:val="24"/>
          <w:szCs w:val="24"/>
          <w:lang w:val="ru-RU"/>
        </w:rPr>
        <w:t>– алтарь, посвященный вышним и подземным богам, тогда как</w:t>
      </w:r>
      <w:r w:rsidR="001144AA">
        <w:rPr>
          <w:rFonts w:ascii="Times New Roman" w:hAnsi="Times New Roman"/>
          <w:sz w:val="24"/>
          <w:szCs w:val="24"/>
          <w:lang w:val="ru-RU"/>
        </w:rPr>
        <w:t xml:space="preserve"> термин</w:t>
      </w:r>
      <w:r w:rsidRPr="00243F7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altaria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144AA">
        <w:rPr>
          <w:rFonts w:ascii="Times New Roman" w:hAnsi="Times New Roman"/>
          <w:sz w:val="24"/>
          <w:szCs w:val="24"/>
          <w:lang w:val="ru-RU"/>
        </w:rPr>
        <w:t>мог обозначать верхнюю</w:t>
      </w:r>
      <w:r w:rsidRPr="00243F70">
        <w:rPr>
          <w:rFonts w:ascii="Times New Roman" w:hAnsi="Times New Roman"/>
          <w:sz w:val="24"/>
          <w:szCs w:val="24"/>
          <w:lang w:val="ru-RU"/>
        </w:rPr>
        <w:t xml:space="preserve"> часть алтаря (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ara</w:t>
      </w:r>
      <w:proofErr w:type="spellEnd"/>
      <w:r w:rsidR="001144AA">
        <w:rPr>
          <w:rFonts w:ascii="Times New Roman" w:hAnsi="Times New Roman"/>
          <w:sz w:val="24"/>
          <w:szCs w:val="24"/>
          <w:lang w:val="ru-RU"/>
        </w:rPr>
        <w:t>); одну</w:t>
      </w:r>
      <w:r w:rsidRPr="00243F70">
        <w:rPr>
          <w:rFonts w:ascii="Times New Roman" w:hAnsi="Times New Roman"/>
          <w:sz w:val="24"/>
          <w:szCs w:val="24"/>
          <w:lang w:val="ru-RU"/>
        </w:rPr>
        <w:t xml:space="preserve"> из разновидностей алтарей без уточнения посвящения какому-либо богу (помимо </w:t>
      </w:r>
      <w:proofErr w:type="spellStart"/>
      <w:r w:rsidRPr="001144AA">
        <w:rPr>
          <w:rFonts w:ascii="Times New Roman" w:hAnsi="Times New Roman"/>
          <w:i/>
          <w:sz w:val="24"/>
          <w:szCs w:val="24"/>
          <w:lang w:val="ru-RU"/>
        </w:rPr>
        <w:t>ara</w:t>
      </w:r>
      <w:proofErr w:type="spellEnd"/>
      <w:r w:rsidR="001144AA">
        <w:rPr>
          <w:rFonts w:ascii="Times New Roman" w:hAnsi="Times New Roman"/>
          <w:sz w:val="24"/>
          <w:szCs w:val="24"/>
          <w:lang w:val="ru-RU"/>
        </w:rPr>
        <w:t>);</w:t>
      </w:r>
      <w:r w:rsidRPr="00243F70">
        <w:rPr>
          <w:rFonts w:ascii="Times New Roman" w:hAnsi="Times New Roman"/>
          <w:sz w:val="24"/>
          <w:szCs w:val="24"/>
          <w:lang w:val="ru-RU"/>
        </w:rPr>
        <w:t xml:space="preserve"> алтарь, посвященный исключительно вышним богам; наименование непосредственно жертвы возлияния, например, вина (метонимический перенос).</w:t>
      </w:r>
      <w:proofErr w:type="gramEnd"/>
    </w:p>
    <w:p w:rsidR="00243F70" w:rsidRPr="00243F70" w:rsidRDefault="00243F70" w:rsidP="00BC72FB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243F70">
        <w:rPr>
          <w:rFonts w:ascii="Times New Roman" w:hAnsi="Times New Roman"/>
          <w:sz w:val="24"/>
          <w:szCs w:val="24"/>
          <w:lang w:val="ru-RU"/>
        </w:rPr>
        <w:t>Однако позже связь терминов с иерархией богов наряду с другими точками зрения находит отражение в различных словарях древностей.</w:t>
      </w:r>
      <w:r w:rsidR="00EA159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3F70">
        <w:rPr>
          <w:rFonts w:ascii="Times New Roman" w:hAnsi="Times New Roman"/>
          <w:sz w:val="24"/>
          <w:szCs w:val="24"/>
          <w:lang w:val="ru-RU"/>
        </w:rPr>
        <w:t xml:space="preserve">Посвященная алтарям статья «Реального словаря классических древностей» под редакцией Фридриха </w:t>
      </w:r>
      <w:proofErr w:type="spellStart"/>
      <w:r w:rsidRPr="00243F70">
        <w:rPr>
          <w:rFonts w:ascii="Times New Roman" w:hAnsi="Times New Roman"/>
          <w:sz w:val="24"/>
          <w:szCs w:val="24"/>
          <w:lang w:val="ru-RU"/>
        </w:rPr>
        <w:t>Любкера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 наполнена противоречиями. Для разграничения </w:t>
      </w:r>
      <w:proofErr w:type="spellStart"/>
      <w:r w:rsidRPr="00BC72FB">
        <w:rPr>
          <w:rFonts w:ascii="Times New Roman" w:hAnsi="Times New Roman"/>
          <w:i/>
          <w:sz w:val="24"/>
          <w:szCs w:val="24"/>
          <w:lang w:val="ru-RU"/>
        </w:rPr>
        <w:t>ara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BC72FB">
        <w:rPr>
          <w:rFonts w:ascii="Times New Roman" w:hAnsi="Times New Roman"/>
          <w:i/>
          <w:sz w:val="24"/>
          <w:szCs w:val="24"/>
          <w:lang w:val="ru-RU"/>
        </w:rPr>
        <w:t>altaria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 приводится параллель с древнегреческими терминами </w:t>
      </w:r>
      <w:r w:rsidRPr="00BC72FB">
        <w:rPr>
          <w:rFonts w:ascii="Times New Roman" w:hAnsi="Times New Roman"/>
          <w:i/>
          <w:sz w:val="24"/>
          <w:szCs w:val="24"/>
          <w:lang w:val="ru-RU"/>
        </w:rPr>
        <w:t>β</w:t>
      </w:r>
      <w:proofErr w:type="spellStart"/>
      <w:r w:rsidRPr="00BC72FB">
        <w:rPr>
          <w:rFonts w:ascii="Times New Roman" w:hAnsi="Times New Roman"/>
          <w:i/>
          <w:sz w:val="24"/>
          <w:szCs w:val="24"/>
          <w:lang w:val="ru-RU"/>
        </w:rPr>
        <w:t>ωμός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BC72FB">
        <w:rPr>
          <w:rFonts w:ascii="Times New Roman" w:hAnsi="Times New Roman"/>
          <w:i/>
          <w:sz w:val="24"/>
          <w:szCs w:val="24"/>
          <w:lang w:val="ru-RU"/>
        </w:rPr>
        <w:t>ἐσχάρ</w:t>
      </w:r>
      <w:proofErr w:type="spellEnd"/>
      <w:r w:rsidRPr="00BC72FB">
        <w:rPr>
          <w:rFonts w:ascii="Times New Roman" w:hAnsi="Times New Roman"/>
          <w:i/>
          <w:sz w:val="24"/>
          <w:szCs w:val="24"/>
          <w:lang w:val="ru-RU"/>
        </w:rPr>
        <w:t>α</w:t>
      </w:r>
      <w:r w:rsidRPr="00243F70">
        <w:rPr>
          <w:rFonts w:ascii="Times New Roman" w:hAnsi="Times New Roman"/>
          <w:sz w:val="24"/>
          <w:szCs w:val="24"/>
          <w:lang w:val="ru-RU"/>
        </w:rPr>
        <w:t>, в которой скрывается первое несоответствие [</w:t>
      </w:r>
      <w:r w:rsidR="00BD18D5">
        <w:rPr>
          <w:rFonts w:ascii="Times New Roman" w:hAnsi="Times New Roman"/>
          <w:sz w:val="24"/>
          <w:szCs w:val="24"/>
          <w:lang w:val="ru-RU"/>
        </w:rPr>
        <w:t>1</w:t>
      </w:r>
      <w:r w:rsidRPr="00243F70">
        <w:rPr>
          <w:rFonts w:ascii="Times New Roman" w:hAnsi="Times New Roman"/>
          <w:sz w:val="24"/>
          <w:szCs w:val="24"/>
          <w:lang w:val="ru-RU"/>
        </w:rPr>
        <w:t xml:space="preserve">]. Лексема </w:t>
      </w:r>
      <w:r w:rsidRPr="00BC72FB">
        <w:rPr>
          <w:rFonts w:ascii="Times New Roman" w:hAnsi="Times New Roman"/>
          <w:i/>
          <w:sz w:val="24"/>
          <w:szCs w:val="24"/>
          <w:lang w:val="ru-RU"/>
        </w:rPr>
        <w:t>β</w:t>
      </w:r>
      <w:proofErr w:type="spellStart"/>
      <w:r w:rsidRPr="00BC72FB">
        <w:rPr>
          <w:rFonts w:ascii="Times New Roman" w:hAnsi="Times New Roman"/>
          <w:i/>
          <w:sz w:val="24"/>
          <w:szCs w:val="24"/>
          <w:lang w:val="ru-RU"/>
        </w:rPr>
        <w:t>ωμός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 изначально использовалась для обозначения любой возвышенности, в том числе специальной возвышенности для поклонения богам, но позже в текстах фиксировалось сужение до термина со значением алтаря, жертвенника, причем единого для всех богов и контекстов. Относительно </w:t>
      </w:r>
      <w:proofErr w:type="spellStart"/>
      <w:r w:rsidRPr="00BC72FB">
        <w:rPr>
          <w:rFonts w:ascii="Times New Roman" w:hAnsi="Times New Roman"/>
          <w:i/>
          <w:sz w:val="24"/>
          <w:szCs w:val="24"/>
          <w:lang w:val="ru-RU"/>
        </w:rPr>
        <w:t>ἐσχάρ</w:t>
      </w:r>
      <w:proofErr w:type="spellEnd"/>
      <w:r w:rsidRPr="00BC72FB">
        <w:rPr>
          <w:rFonts w:ascii="Times New Roman" w:hAnsi="Times New Roman"/>
          <w:i/>
          <w:sz w:val="24"/>
          <w:szCs w:val="24"/>
          <w:lang w:val="ru-RU"/>
        </w:rPr>
        <w:t>α</w:t>
      </w:r>
      <w:r w:rsidRPr="00243F70">
        <w:rPr>
          <w:rFonts w:ascii="Times New Roman" w:hAnsi="Times New Roman"/>
          <w:sz w:val="24"/>
          <w:szCs w:val="24"/>
          <w:lang w:val="ru-RU"/>
        </w:rPr>
        <w:t xml:space="preserve"> корректнее провести параллель с латинским словом </w:t>
      </w:r>
      <w:proofErr w:type="spellStart"/>
      <w:r w:rsidRPr="00BC72FB">
        <w:rPr>
          <w:rFonts w:ascii="Times New Roman" w:hAnsi="Times New Roman"/>
          <w:i/>
          <w:sz w:val="24"/>
          <w:szCs w:val="24"/>
          <w:lang w:val="ru-RU"/>
        </w:rPr>
        <w:t>focus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>, для которого так же характерно первоначальное значение очага как места розжига огня, приготовления пищи и сохранения тепла, так и последующее сужение до религиозного термина – переносного очага-жертвенника, играющего большую ро</w:t>
      </w:r>
      <w:r w:rsidR="00BC72FB">
        <w:rPr>
          <w:rFonts w:ascii="Times New Roman" w:hAnsi="Times New Roman"/>
          <w:sz w:val="24"/>
          <w:szCs w:val="24"/>
          <w:lang w:val="ru-RU"/>
        </w:rPr>
        <w:t xml:space="preserve">ль в ритуалах жертвоприношения. </w:t>
      </w:r>
      <w:proofErr w:type="gramStart"/>
      <w:r w:rsidRPr="00243F70">
        <w:rPr>
          <w:rFonts w:ascii="Times New Roman" w:hAnsi="Times New Roman"/>
          <w:sz w:val="24"/>
          <w:szCs w:val="24"/>
          <w:lang w:val="ru-RU"/>
        </w:rPr>
        <w:t xml:space="preserve">Далее в статье указывается назначение алтарей по знакомому критерию иерархии богов: </w:t>
      </w:r>
      <w:proofErr w:type="spellStart"/>
      <w:r w:rsidRPr="00BC72FB">
        <w:rPr>
          <w:rFonts w:ascii="Times New Roman" w:hAnsi="Times New Roman"/>
          <w:i/>
          <w:sz w:val="24"/>
          <w:szCs w:val="24"/>
          <w:lang w:val="ru-RU"/>
        </w:rPr>
        <w:t>altare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 (одна из малоупотребительных форм </w:t>
      </w:r>
      <w:proofErr w:type="spellStart"/>
      <w:r w:rsidRPr="00BC72FB">
        <w:rPr>
          <w:rFonts w:ascii="Times New Roman" w:hAnsi="Times New Roman"/>
          <w:i/>
          <w:sz w:val="24"/>
          <w:szCs w:val="24"/>
          <w:lang w:val="ru-RU"/>
        </w:rPr>
        <w:t>altaria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) для вышних богов, </w:t>
      </w:r>
      <w:proofErr w:type="spellStart"/>
      <w:r w:rsidRPr="00BC72FB">
        <w:rPr>
          <w:rFonts w:ascii="Times New Roman" w:hAnsi="Times New Roman"/>
          <w:i/>
          <w:sz w:val="24"/>
          <w:szCs w:val="24"/>
          <w:lang w:val="ru-RU"/>
        </w:rPr>
        <w:t>ara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 для подземных.</w:t>
      </w:r>
      <w:proofErr w:type="gramEnd"/>
      <w:r w:rsidRPr="00243F70">
        <w:rPr>
          <w:rFonts w:ascii="Times New Roman" w:hAnsi="Times New Roman"/>
          <w:sz w:val="24"/>
          <w:szCs w:val="24"/>
          <w:lang w:val="ru-RU"/>
        </w:rPr>
        <w:t xml:space="preserve"> Дополнительно дается характеристика размеров алтарей, часто подтверждаемая археологическими данными: </w:t>
      </w:r>
      <w:proofErr w:type="spellStart"/>
      <w:r w:rsidRPr="00BC72FB">
        <w:rPr>
          <w:rFonts w:ascii="Times New Roman" w:hAnsi="Times New Roman"/>
          <w:i/>
          <w:sz w:val="24"/>
          <w:szCs w:val="24"/>
          <w:lang w:val="ru-RU"/>
        </w:rPr>
        <w:t>altaria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 выше </w:t>
      </w:r>
      <w:proofErr w:type="spellStart"/>
      <w:r w:rsidRPr="00BC72FB">
        <w:rPr>
          <w:rFonts w:ascii="Times New Roman" w:hAnsi="Times New Roman"/>
          <w:i/>
          <w:sz w:val="24"/>
          <w:szCs w:val="24"/>
          <w:lang w:val="ru-RU"/>
        </w:rPr>
        <w:t>ara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 [</w:t>
      </w:r>
      <w:r w:rsidR="00BD18D5">
        <w:rPr>
          <w:rFonts w:ascii="Times New Roman" w:hAnsi="Times New Roman"/>
          <w:sz w:val="24"/>
          <w:szCs w:val="24"/>
          <w:lang w:val="ru-RU"/>
        </w:rPr>
        <w:t>1</w:t>
      </w:r>
      <w:r w:rsidRPr="00243F70">
        <w:rPr>
          <w:rFonts w:ascii="Times New Roman" w:hAnsi="Times New Roman"/>
          <w:sz w:val="24"/>
          <w:szCs w:val="24"/>
          <w:lang w:val="ru-RU"/>
        </w:rPr>
        <w:t xml:space="preserve">]. Размер будет основным источником народной этимологии </w:t>
      </w:r>
      <w:proofErr w:type="spellStart"/>
      <w:r w:rsidRPr="00BC72FB">
        <w:rPr>
          <w:rFonts w:ascii="Times New Roman" w:hAnsi="Times New Roman"/>
          <w:i/>
          <w:sz w:val="24"/>
          <w:szCs w:val="24"/>
          <w:lang w:val="ru-RU"/>
        </w:rPr>
        <w:t>altaria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 от прилагательного </w:t>
      </w:r>
      <w:proofErr w:type="spellStart"/>
      <w:r w:rsidRPr="00BC72FB">
        <w:rPr>
          <w:rFonts w:ascii="Times New Roman" w:hAnsi="Times New Roman"/>
          <w:i/>
          <w:sz w:val="24"/>
          <w:szCs w:val="24"/>
          <w:lang w:val="ru-RU"/>
        </w:rPr>
        <w:t>altus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 ‘высокий’, но об этом речь пойдет позже. Соотносить </w:t>
      </w:r>
      <w:proofErr w:type="spellStart"/>
      <w:r w:rsidRPr="00BC72FB">
        <w:rPr>
          <w:rFonts w:ascii="Times New Roman" w:hAnsi="Times New Roman"/>
          <w:i/>
          <w:sz w:val="24"/>
          <w:szCs w:val="24"/>
          <w:lang w:val="ru-RU"/>
        </w:rPr>
        <w:t>ara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 с жертвоприношениями исключительно для подземных богов так же нелогично, как и выстраивать такую связь для </w:t>
      </w:r>
      <w:proofErr w:type="spellStart"/>
      <w:r w:rsidRPr="00BC72FB">
        <w:rPr>
          <w:rFonts w:ascii="Times New Roman" w:hAnsi="Times New Roman"/>
          <w:i/>
          <w:sz w:val="24"/>
          <w:szCs w:val="24"/>
          <w:lang w:val="ru-RU"/>
        </w:rPr>
        <w:t>focus</w:t>
      </w:r>
      <w:proofErr w:type="spellEnd"/>
      <w:r w:rsidRPr="00243F7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C346C6" w:rsidRDefault="00C346C6" w:rsidP="00243F70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Таким образом, </w:t>
      </w:r>
      <w:r w:rsidR="00EA1599">
        <w:rPr>
          <w:rFonts w:ascii="Times New Roman" w:hAnsi="Times New Roman"/>
          <w:sz w:val="24"/>
          <w:szCs w:val="24"/>
          <w:lang w:val="ru-RU"/>
        </w:rPr>
        <w:t xml:space="preserve">данный обзор подтверждает наличие трудностей в анализе латинской ритуальной терминологии и не дает ее однозначного прояснения. Представляется возможным добиться </w:t>
      </w:r>
      <w:r w:rsidR="00ED67F5">
        <w:rPr>
          <w:rFonts w:ascii="Times New Roman" w:hAnsi="Times New Roman"/>
          <w:sz w:val="24"/>
          <w:szCs w:val="24"/>
          <w:lang w:val="ru-RU"/>
        </w:rPr>
        <w:t>разграничения</w:t>
      </w:r>
      <w:r w:rsidR="00EA1599">
        <w:rPr>
          <w:rFonts w:ascii="Times New Roman" w:hAnsi="Times New Roman"/>
          <w:sz w:val="24"/>
          <w:szCs w:val="24"/>
          <w:lang w:val="ru-RU"/>
        </w:rPr>
        <w:t xml:space="preserve"> путем этимологического комментария и </w:t>
      </w:r>
      <w:r w:rsidR="00ED67F5">
        <w:rPr>
          <w:rFonts w:ascii="Times New Roman" w:hAnsi="Times New Roman"/>
          <w:sz w:val="24"/>
          <w:szCs w:val="24"/>
          <w:lang w:val="ru-RU"/>
        </w:rPr>
        <w:t>анализа словоупотреблений античных</w:t>
      </w:r>
      <w:r w:rsidR="00EA159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D67F5">
        <w:rPr>
          <w:rFonts w:ascii="Times New Roman" w:hAnsi="Times New Roman"/>
          <w:sz w:val="24"/>
          <w:szCs w:val="24"/>
          <w:lang w:val="ru-RU"/>
        </w:rPr>
        <w:t>авторов.</w:t>
      </w:r>
    </w:p>
    <w:p w:rsidR="00C346C6" w:rsidRPr="00243F70" w:rsidRDefault="00C346C6" w:rsidP="00C346C6">
      <w:pPr>
        <w:spacing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243F70">
        <w:rPr>
          <w:rFonts w:ascii="Times New Roman" w:hAnsi="Times New Roman"/>
          <w:b/>
          <w:sz w:val="24"/>
          <w:szCs w:val="24"/>
          <w:lang w:val="ru-RU"/>
        </w:rPr>
        <w:t>Литература</w:t>
      </w:r>
    </w:p>
    <w:p w:rsidR="003E3715" w:rsidRDefault="00B10C2D" w:rsidP="00093C14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1. </w:t>
      </w:r>
      <w:r w:rsidR="003E3715" w:rsidRPr="003E3715">
        <w:rPr>
          <w:rFonts w:ascii="Times New Roman" w:hAnsi="Times New Roman"/>
          <w:sz w:val="24"/>
          <w:szCs w:val="24"/>
          <w:lang w:val="ru-RU"/>
        </w:rPr>
        <w:t xml:space="preserve">Реальный словарь классических древностей </w:t>
      </w:r>
      <w:r w:rsidR="003E3715">
        <w:rPr>
          <w:rFonts w:ascii="Times New Roman" w:hAnsi="Times New Roman"/>
          <w:sz w:val="24"/>
          <w:szCs w:val="24"/>
          <w:lang w:val="ru-RU"/>
        </w:rPr>
        <w:t xml:space="preserve">по </w:t>
      </w:r>
      <w:proofErr w:type="spellStart"/>
      <w:r w:rsidR="003E3715">
        <w:rPr>
          <w:rFonts w:ascii="Times New Roman" w:hAnsi="Times New Roman"/>
          <w:sz w:val="24"/>
          <w:szCs w:val="24"/>
          <w:lang w:val="ru-RU"/>
        </w:rPr>
        <w:t>Любкеру</w:t>
      </w:r>
      <w:proofErr w:type="spellEnd"/>
      <w:proofErr w:type="gramStart"/>
      <w:r w:rsidR="003E371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E3715" w:rsidRPr="003E3715">
        <w:rPr>
          <w:rFonts w:ascii="Times New Roman" w:hAnsi="Times New Roman"/>
          <w:sz w:val="24"/>
          <w:szCs w:val="24"/>
          <w:lang w:val="ru-RU"/>
        </w:rPr>
        <w:t>/ П</w:t>
      </w:r>
      <w:proofErr w:type="gramEnd"/>
      <w:r w:rsidR="003E3715" w:rsidRPr="003E3715">
        <w:rPr>
          <w:rFonts w:ascii="Times New Roman" w:hAnsi="Times New Roman"/>
          <w:sz w:val="24"/>
          <w:szCs w:val="24"/>
          <w:lang w:val="ru-RU"/>
        </w:rPr>
        <w:t xml:space="preserve">од ред. чл. О-ва </w:t>
      </w:r>
      <w:proofErr w:type="spellStart"/>
      <w:r w:rsidR="003E3715" w:rsidRPr="003E3715">
        <w:rPr>
          <w:rFonts w:ascii="Times New Roman" w:hAnsi="Times New Roman"/>
          <w:sz w:val="24"/>
          <w:szCs w:val="24"/>
          <w:lang w:val="ru-RU"/>
        </w:rPr>
        <w:t>классич</w:t>
      </w:r>
      <w:proofErr w:type="spellEnd"/>
      <w:r w:rsidR="003E3715" w:rsidRPr="003E3715">
        <w:rPr>
          <w:rFonts w:ascii="Times New Roman" w:hAnsi="Times New Roman"/>
          <w:sz w:val="24"/>
          <w:szCs w:val="24"/>
          <w:lang w:val="ru-RU"/>
        </w:rPr>
        <w:t xml:space="preserve">. филологии и педагогики Ф. </w:t>
      </w:r>
      <w:proofErr w:type="spellStart"/>
      <w:r w:rsidR="003E3715" w:rsidRPr="003E3715">
        <w:rPr>
          <w:rFonts w:ascii="Times New Roman" w:hAnsi="Times New Roman"/>
          <w:sz w:val="24"/>
          <w:szCs w:val="24"/>
          <w:lang w:val="ru-RU"/>
        </w:rPr>
        <w:t>Гельбке</w:t>
      </w:r>
      <w:proofErr w:type="spellEnd"/>
      <w:r w:rsidR="003E3715" w:rsidRPr="003E3715">
        <w:rPr>
          <w:rFonts w:ascii="Times New Roman" w:hAnsi="Times New Roman"/>
          <w:sz w:val="24"/>
          <w:szCs w:val="24"/>
          <w:lang w:val="ru-RU"/>
        </w:rPr>
        <w:t xml:space="preserve">, Л. Георгиевского [и др.]. </w:t>
      </w:r>
      <w:r w:rsidR="003E3715">
        <w:rPr>
          <w:rFonts w:ascii="Times New Roman" w:hAnsi="Times New Roman"/>
          <w:sz w:val="24"/>
          <w:szCs w:val="24"/>
          <w:lang w:val="ru-RU"/>
        </w:rPr>
        <w:t>–</w:t>
      </w:r>
      <w:r w:rsidR="003E3715" w:rsidRPr="003E3715">
        <w:rPr>
          <w:rFonts w:ascii="Times New Roman" w:hAnsi="Times New Roman"/>
          <w:sz w:val="24"/>
          <w:szCs w:val="24"/>
          <w:lang w:val="ru-RU"/>
        </w:rPr>
        <w:t xml:space="preserve"> Санкт-Петербург</w:t>
      </w:r>
      <w:proofErr w:type="gramStart"/>
      <w:r w:rsidR="003E3715" w:rsidRPr="003E3715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="003E3715" w:rsidRPr="003E3715">
        <w:rPr>
          <w:rFonts w:ascii="Times New Roman" w:hAnsi="Times New Roman"/>
          <w:sz w:val="24"/>
          <w:szCs w:val="24"/>
          <w:lang w:val="ru-RU"/>
        </w:rPr>
        <w:t xml:space="preserve"> О-во </w:t>
      </w:r>
      <w:proofErr w:type="spellStart"/>
      <w:r w:rsidR="003E3715" w:rsidRPr="003E3715">
        <w:rPr>
          <w:rFonts w:ascii="Times New Roman" w:hAnsi="Times New Roman"/>
          <w:sz w:val="24"/>
          <w:szCs w:val="24"/>
          <w:lang w:val="ru-RU"/>
        </w:rPr>
        <w:t>классич</w:t>
      </w:r>
      <w:proofErr w:type="spellEnd"/>
      <w:r w:rsidR="003E3715" w:rsidRPr="003E3715">
        <w:rPr>
          <w:rFonts w:ascii="Times New Roman" w:hAnsi="Times New Roman"/>
          <w:sz w:val="24"/>
          <w:szCs w:val="24"/>
          <w:lang w:val="ru-RU"/>
        </w:rPr>
        <w:t>. филологии и педагогики, 1885.</w:t>
      </w:r>
    </w:p>
    <w:p w:rsidR="00B308CD" w:rsidRPr="00093C14" w:rsidRDefault="00B10C2D" w:rsidP="00BD18D5">
      <w:pPr>
        <w:spacing w:line="240" w:lineRule="auto"/>
        <w:jc w:val="both"/>
        <w:rPr>
          <w:rFonts w:ascii="Times New Roman" w:hAnsi="Times New Roman"/>
          <w:noProof/>
          <w:sz w:val="24"/>
          <w:szCs w:val="24"/>
          <w:lang w:val="ru-RU" w:eastAsia="zh-CN"/>
        </w:rPr>
      </w:pPr>
      <w:r>
        <w:rPr>
          <w:rFonts w:ascii="Times New Roman" w:hAnsi="Times New Roman"/>
          <w:noProof/>
          <w:sz w:val="24"/>
          <w:szCs w:val="24"/>
          <w:lang w:val="ru-RU" w:eastAsia="zh-CN"/>
        </w:rPr>
        <w:t>2. </w:t>
      </w:r>
      <w:r w:rsidR="00BD18D5" w:rsidRPr="00BD18D5">
        <w:rPr>
          <w:rFonts w:ascii="Times New Roman" w:hAnsi="Times New Roman"/>
          <w:noProof/>
          <w:sz w:val="24"/>
          <w:szCs w:val="24"/>
          <w:lang w:val="ru-RU" w:eastAsia="zh-CN"/>
        </w:rPr>
        <w:t>Шайд Дж. Религия римлян. М.: Новое издательство, 2006.</w:t>
      </w:r>
    </w:p>
    <w:sectPr w:rsidR="00B308CD" w:rsidRPr="00093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C6"/>
    <w:rsid w:val="00093C14"/>
    <w:rsid w:val="001144AA"/>
    <w:rsid w:val="00243F70"/>
    <w:rsid w:val="003E3715"/>
    <w:rsid w:val="00447030"/>
    <w:rsid w:val="00791AB5"/>
    <w:rsid w:val="007E37D0"/>
    <w:rsid w:val="00833660"/>
    <w:rsid w:val="009E5820"/>
    <w:rsid w:val="00A660AF"/>
    <w:rsid w:val="00B10C2D"/>
    <w:rsid w:val="00B308CD"/>
    <w:rsid w:val="00B6324E"/>
    <w:rsid w:val="00BC72FB"/>
    <w:rsid w:val="00BD18D5"/>
    <w:rsid w:val="00C22D6C"/>
    <w:rsid w:val="00C346C6"/>
    <w:rsid w:val="00CE342B"/>
    <w:rsid w:val="00CE5CA9"/>
    <w:rsid w:val="00EA1599"/>
    <w:rsid w:val="00ED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6C6"/>
    <w:rPr>
      <w:rFonts w:ascii="Calibri" w:eastAsia="Calibri" w:hAnsi="Calibri" w:cs="Times New Roman"/>
      <w:sz w:val="22"/>
      <w:lang w:val="de-DE" w:eastAsia="en-US"/>
    </w:rPr>
  </w:style>
  <w:style w:type="paragraph" w:styleId="1">
    <w:name w:val="heading 1"/>
    <w:basedOn w:val="a"/>
    <w:next w:val="a"/>
    <w:link w:val="10"/>
    <w:uiPriority w:val="9"/>
    <w:qFormat/>
    <w:rsid w:val="00447030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ru-RU" w:eastAsia="zh-CN"/>
    </w:rPr>
  </w:style>
  <w:style w:type="paragraph" w:styleId="2">
    <w:name w:val="heading 2"/>
    <w:basedOn w:val="1"/>
    <w:next w:val="a"/>
    <w:link w:val="20"/>
    <w:uiPriority w:val="9"/>
    <w:unhideWhenUsed/>
    <w:qFormat/>
    <w:rsid w:val="00447030"/>
    <w:pPr>
      <w:spacing w:before="120" w:after="120"/>
      <w:outlineLvl w:val="1"/>
    </w:pPr>
    <w:rPr>
      <w:bCs w:val="0"/>
      <w:i/>
      <w:szCs w:val="26"/>
    </w:rPr>
  </w:style>
  <w:style w:type="paragraph" w:styleId="3">
    <w:name w:val="heading 3"/>
    <w:basedOn w:val="2"/>
    <w:next w:val="a"/>
    <w:link w:val="30"/>
    <w:uiPriority w:val="9"/>
    <w:unhideWhenUsed/>
    <w:qFormat/>
    <w:rsid w:val="00447030"/>
    <w:pPr>
      <w:outlineLvl w:val="2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030"/>
    <w:rPr>
      <w:rFonts w:eastAsiaTheme="majorEastAsia" w:cstheme="majorBidi"/>
      <w:b/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447030"/>
    <w:rPr>
      <w:rFonts w:eastAsiaTheme="majorEastAsia" w:cstheme="majorBidi"/>
      <w:b/>
      <w:i/>
      <w:szCs w:val="26"/>
    </w:rPr>
  </w:style>
  <w:style w:type="character" w:customStyle="1" w:styleId="30">
    <w:name w:val="Заголовок 3 Знак"/>
    <w:basedOn w:val="a0"/>
    <w:link w:val="3"/>
    <w:uiPriority w:val="9"/>
    <w:rsid w:val="00447030"/>
    <w:rPr>
      <w:rFonts w:eastAsiaTheme="majorEastAsia" w:cstheme="majorBidi"/>
      <w:b/>
      <w:bCs/>
      <w:i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6C6"/>
    <w:rPr>
      <w:rFonts w:ascii="Calibri" w:eastAsia="Calibri" w:hAnsi="Calibri" w:cs="Times New Roman"/>
      <w:sz w:val="22"/>
      <w:lang w:val="de-DE" w:eastAsia="en-US"/>
    </w:rPr>
  </w:style>
  <w:style w:type="paragraph" w:styleId="1">
    <w:name w:val="heading 1"/>
    <w:basedOn w:val="a"/>
    <w:next w:val="a"/>
    <w:link w:val="10"/>
    <w:uiPriority w:val="9"/>
    <w:qFormat/>
    <w:rsid w:val="00447030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ru-RU" w:eastAsia="zh-CN"/>
    </w:rPr>
  </w:style>
  <w:style w:type="paragraph" w:styleId="2">
    <w:name w:val="heading 2"/>
    <w:basedOn w:val="1"/>
    <w:next w:val="a"/>
    <w:link w:val="20"/>
    <w:uiPriority w:val="9"/>
    <w:unhideWhenUsed/>
    <w:qFormat/>
    <w:rsid w:val="00447030"/>
    <w:pPr>
      <w:spacing w:before="120" w:after="120"/>
      <w:outlineLvl w:val="1"/>
    </w:pPr>
    <w:rPr>
      <w:bCs w:val="0"/>
      <w:i/>
      <w:szCs w:val="26"/>
    </w:rPr>
  </w:style>
  <w:style w:type="paragraph" w:styleId="3">
    <w:name w:val="heading 3"/>
    <w:basedOn w:val="2"/>
    <w:next w:val="a"/>
    <w:link w:val="30"/>
    <w:uiPriority w:val="9"/>
    <w:unhideWhenUsed/>
    <w:qFormat/>
    <w:rsid w:val="00447030"/>
    <w:pPr>
      <w:outlineLvl w:val="2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030"/>
    <w:rPr>
      <w:rFonts w:eastAsiaTheme="majorEastAsia" w:cstheme="majorBidi"/>
      <w:b/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447030"/>
    <w:rPr>
      <w:rFonts w:eastAsiaTheme="majorEastAsia" w:cstheme="majorBidi"/>
      <w:b/>
      <w:i/>
      <w:szCs w:val="26"/>
    </w:rPr>
  </w:style>
  <w:style w:type="character" w:customStyle="1" w:styleId="30">
    <w:name w:val="Заголовок 3 Знак"/>
    <w:basedOn w:val="a0"/>
    <w:link w:val="3"/>
    <w:uiPriority w:val="9"/>
    <w:rsid w:val="00447030"/>
    <w:rPr>
      <w:rFonts w:eastAsiaTheme="majorEastAsia" w:cstheme="majorBidi"/>
      <w:b/>
      <w:bCs/>
      <w:i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Захарова</dc:creator>
  <cp:lastModifiedBy>Ирина Захарова</cp:lastModifiedBy>
  <cp:revision>8</cp:revision>
  <dcterms:created xsi:type="dcterms:W3CDTF">2024-02-29T20:54:00Z</dcterms:created>
  <dcterms:modified xsi:type="dcterms:W3CDTF">2025-03-09T20:05:00Z</dcterms:modified>
</cp:coreProperties>
</file>