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Специфика выражения неопределенного количества в русском языке: лингводидактический аспект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Климова Аглая Михайловна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Студентка Московского государственного университета имени М.В. Ломоносова, Москва, Россия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Категория количественности представляет собой большой интерес как в академической лингвистике, так и в преподавании русского языка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как иностранного. В её состав входят несколько языковых уровней: «Анализ явлений одного языкового уровня становится невозможен без анализа смежных» [Панков: 72]. Таким образом, при рассмотрении способов выражения количества стоит обратиться к нескольким аспектам русского языка, в том числе к категории числа, которая имеет морфологическую и семантическую значимость. Неопределённое количество стоит рассмотреть отдельно, так как «можно говорить о наличии в категории славянского существительного трёх форм числа: 1) единственного; 2) множественного и 3) счетного множества с двумя разрядами: неопределенного и определенного множеств» [Всеволодова: 58].</w:t>
      </w:r>
    </w:p>
    <w:p w:rsidR="00000000" w:rsidDel="00000000" w:rsidP="00000000" w:rsidRDefault="00000000" w:rsidRPr="00000000" w14:paraId="00000006">
      <w:pPr>
        <w:ind w:firstLine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Структура категорий неопределённо большого/малого количества организована как функционально-семантические поля с ядром и периферией. Ядро составляют единицы с минимальной субъективной оценкой, а периферию — с более выраженной оценочностью.</w:t>
      </w:r>
    </w:p>
    <w:p w:rsidR="00000000" w:rsidDel="00000000" w:rsidP="00000000" w:rsidRDefault="00000000" w:rsidRPr="00000000" w14:paraId="00000007">
      <w:pPr>
        <w:ind w:firstLine="70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Неопределённое количество выражается через неточные смыслы двух типов:</w:t>
      </w:r>
    </w:p>
    <w:p w:rsidR="00000000" w:rsidDel="00000000" w:rsidP="00000000" w:rsidRDefault="00000000" w:rsidRPr="00000000" w14:paraId="00000008">
      <w:pPr>
        <w:ind w:firstLine="70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ориентированные на число (приблизительность);</w:t>
      </w:r>
    </w:p>
    <w:p w:rsidR="00000000" w:rsidDel="00000000" w:rsidP="00000000" w:rsidRDefault="00000000" w:rsidRPr="00000000" w14:paraId="00000009">
      <w:pPr>
        <w:ind w:firstLine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не ориентированные на число (неопределённость).</w:t>
      </w:r>
    </w:p>
    <w:p w:rsidR="00000000" w:rsidDel="00000000" w:rsidP="00000000" w:rsidRDefault="00000000" w:rsidRPr="00000000" w14:paraId="0000000A">
      <w:pPr>
        <w:ind w:firstLine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Неопределённые количества играют важную роль в передаче субъективных оценок и приблизительных значений в русском языке. Они позволяют говорящему варьировать точность высказываний в зависимости от контекста, что особенно характерно для разговорной речи. Для изучающих русский язык как иностранный владение этими конструкциями существенно, поскольку выражение неопределённого количества часто выражается с помощью интонации, ситуации общения и культурного контекста. Настоящее исследование направлено на анализ способов выражения неопределённого количества и их влияние на процесс обучения.</w:t>
      </w:r>
    </w:p>
    <w:p w:rsidR="00000000" w:rsidDel="00000000" w:rsidP="00000000" w:rsidRDefault="00000000" w:rsidRPr="00000000" w14:paraId="0000000B">
      <w:pPr>
        <w:ind w:firstLine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Средства выражения неопределённого количества в русском языке разнообразны и включают местоимения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несколько, много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), числительные и наречия, а также конструкции с аффиксами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кое-, -то, -либо, -нибудь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 Эти элементы обладают семантической гибкостью, позволяя передавать субъективное отношение говорящего к количественным характеристикам объектов или явлений. Важную роль играет синтаксис: неопределённые количества могут выполнять различные грамматические функции в предложении, влияя на его структуру и порядок слов. Такое разнообразие форм усложняет процесс их освоения, особенно для изучающих русский язык как неродной.</w:t>
      </w:r>
    </w:p>
    <w:p w:rsidR="00000000" w:rsidDel="00000000" w:rsidP="00000000" w:rsidRDefault="00000000" w:rsidRPr="00000000" w14:paraId="0000000C">
      <w:pPr>
        <w:ind w:firstLine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русском языке существуют различные способы выражения неопределённого количества. Например, в выражении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около 30 студентов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предлог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около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используется для обозначения приблизительности, тогда как в конструкции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человек двадцать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для выражения неточности применяется инверсия. Числовой диапазон задается в выражении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40-45 лет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степень приближения к значению, но без его достижения. Для установления верхнего предела используется выражение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не более 50 участников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для обозначения максимального количества —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до 300 зрителей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Существуют и устойчивые конструкции, такие как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 десяток яблок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которые также передают приблизительное количество. Выражение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30 с лишним градусов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указывает на превышение числа, 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без малого 100 рублей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обозначает значение чуть меньше указанного.</w:t>
      </w:r>
    </w:p>
    <w:p w:rsidR="00000000" w:rsidDel="00000000" w:rsidP="00000000" w:rsidRDefault="00000000" w:rsidRPr="00000000" w14:paraId="0000000D">
      <w:pPr>
        <w:ind w:firstLine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Помимо числовых выражений, в языке широко распространены неопределённые количественные конструкции, не привязанные к конкретным числам. Например,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множество людей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указывает на большое количество без числовой привязки, тогда как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куча бумаг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масса вопросов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представляют собой метафоры большого количества. Напротив,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несколько человек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обозначает малое неопределённое количество, 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капля молока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подчёркивает минимальную границу значения. Выражения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море информации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уйма времени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бездна возможностей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являются примерами метафорического обозначения огромного количества. В то же время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считанные минуты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горстка смельчаков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подчёркивают малое количество, 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тьма народу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используется в разговорной речи для обозначения очень большого числа людей. Кроме того, существуют выражения с оттенком оценки, такие как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мизерное количество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вагон проблем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толика правды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обильные осадки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каждое из которых по-своему передаёт субъективное восприятие количества.</w:t>
      </w:r>
    </w:p>
    <w:p w:rsidR="00000000" w:rsidDel="00000000" w:rsidP="00000000" w:rsidRDefault="00000000" w:rsidRPr="00000000" w14:paraId="0000000E">
      <w:pPr>
        <w:ind w:firstLine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Количественность следует считать важным аспектом изучения русского языка как иностранного, так как проявляется на многих уровнях языка и является отражением внеязыковой действительности. Несомненен универсальный статус данной категории, её представленность в типологически разных языках вследствие того, что она отражает реальные связи в мире вещей [Запевалова, Платыгина: 500].</w:t>
      </w:r>
    </w:p>
    <w:p w:rsidR="00000000" w:rsidDel="00000000" w:rsidP="00000000" w:rsidRDefault="00000000" w:rsidRPr="00000000" w14:paraId="0000000F">
      <w:pPr>
        <w:ind w:firstLine="70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Литература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Всеволодова М.В.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Категория количественности в славянских языках: числительные и квантитативы // Вестник Московского университета. Серия 9: Филология. 2013. С.16-62.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Панков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Ф.И.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Функционально-коммуникативная грамматика и русская языковая картина мира // Мир русского слова. 2013. №2. С.72–80.</w:t>
      </w:r>
    </w:p>
    <w:p w:rsidR="00000000" w:rsidDel="00000000" w:rsidP="00000000" w:rsidRDefault="00000000" w:rsidRPr="00000000" w14:paraId="00000015">
      <w:pPr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Запевалова Л.А., Платыгина С. М.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Неопределённое количество в системе квантитативных смыслов (на материале английского и русского языков). Екатеринбург, 2015. </w:t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Strong"/>
    <w:basedOn w:val="a0"/>
    <w:uiPriority w:val="22"/>
    <w:qFormat w:val="1"/>
    <w:rsid w:val="00FA5415"/>
    <w:rPr>
      <w:b w:val="1"/>
      <w:bCs w:val="1"/>
    </w:rPr>
  </w:style>
  <w:style w:type="paragraph" w:styleId="a5">
    <w:name w:val="Normal (Web)"/>
    <w:basedOn w:val="a"/>
    <w:uiPriority w:val="99"/>
    <w:semiHidden w:val="1"/>
    <w:unhideWhenUsed w:val="1"/>
    <w:rsid w:val="00FA5415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a6">
    <w:name w:val="Hyperlink"/>
    <w:basedOn w:val="a0"/>
    <w:uiPriority w:val="99"/>
    <w:semiHidden w:val="1"/>
    <w:unhideWhenUsed w:val="1"/>
    <w:rsid w:val="00FA5415"/>
    <w:rPr>
      <w:color w:val="0000ff"/>
      <w:u w:val="single"/>
    </w:rPr>
  </w:style>
  <w:style w:type="character" w:styleId="a7">
    <w:name w:val="Emphasis"/>
    <w:basedOn w:val="a0"/>
    <w:uiPriority w:val="20"/>
    <w:qFormat w:val="1"/>
    <w:rsid w:val="00FA5415"/>
    <w:rPr>
      <w:i w:val="1"/>
      <w:iCs w:val="1"/>
    </w:rPr>
  </w:style>
  <w:style w:type="paragraph" w:styleId="a8">
    <w:name w:val="List Paragraph"/>
    <w:basedOn w:val="a"/>
    <w:uiPriority w:val="34"/>
    <w:qFormat w:val="1"/>
    <w:rsid w:val="00164389"/>
    <w:pPr>
      <w:ind w:left="720"/>
      <w:contextualSpacing w:val="1"/>
    </w:pPr>
  </w:style>
  <w:style w:type="paragraph" w:styleId="a9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S+zVy0L5+1VhYYijR1kH5MKNw==">CgMxLjA4AHIhMXZjcktuWDBGUjhXTWVCTGt4Rll4bThONExjZVRPZVct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2024-02-12T11:04:00Z</dcterms:created>
  <dc:creator>Мовляшева Елизавета</dc:creator>
</cp:coreProperties>
</file>