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F00" w:rsidRPr="00FA556E" w:rsidRDefault="00877210" w:rsidP="004F6E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center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Описание п</w:t>
      </w:r>
      <w:r w:rsidR="00633A5E" w:rsidRPr="00FA556E">
        <w:rPr>
          <w:rFonts w:cs="Times New Roman"/>
          <w:b/>
          <w:bCs/>
          <w:sz w:val="24"/>
        </w:rPr>
        <w:t>редикативны</w:t>
      </w:r>
      <w:r>
        <w:rPr>
          <w:rFonts w:cs="Times New Roman"/>
          <w:b/>
          <w:bCs/>
          <w:sz w:val="24"/>
        </w:rPr>
        <w:t>х</w:t>
      </w:r>
      <w:r w:rsidR="00633A5E" w:rsidRPr="00FA556E">
        <w:rPr>
          <w:rFonts w:cs="Times New Roman"/>
          <w:b/>
          <w:bCs/>
          <w:sz w:val="24"/>
        </w:rPr>
        <w:t xml:space="preserve"> наречи</w:t>
      </w:r>
      <w:r>
        <w:rPr>
          <w:rFonts w:cs="Times New Roman"/>
          <w:b/>
          <w:bCs/>
          <w:sz w:val="24"/>
        </w:rPr>
        <w:t>й</w:t>
      </w:r>
      <w:r w:rsidR="00633A5E" w:rsidRPr="00FA556E">
        <w:rPr>
          <w:rFonts w:cs="Times New Roman"/>
          <w:b/>
          <w:bCs/>
          <w:sz w:val="24"/>
        </w:rPr>
        <w:t xml:space="preserve"> как способ</w:t>
      </w:r>
      <w:r>
        <w:rPr>
          <w:rFonts w:cs="Times New Roman"/>
          <w:b/>
          <w:bCs/>
          <w:sz w:val="24"/>
        </w:rPr>
        <w:t>а</w:t>
      </w:r>
      <w:r w:rsidR="00633A5E" w:rsidRPr="00FA556E">
        <w:rPr>
          <w:rFonts w:cs="Times New Roman"/>
          <w:b/>
          <w:bCs/>
          <w:sz w:val="24"/>
        </w:rPr>
        <w:t xml:space="preserve"> выражения семантики состояния </w:t>
      </w:r>
      <w:r>
        <w:rPr>
          <w:rFonts w:cs="Times New Roman"/>
          <w:b/>
          <w:bCs/>
          <w:sz w:val="24"/>
        </w:rPr>
        <w:t>в русле функционально-коммуникативного синтаксиса русского языка</w:t>
      </w:r>
    </w:p>
    <w:p w:rsidR="00427D58" w:rsidRPr="004F6EB5" w:rsidRDefault="00427D58" w:rsidP="004F6E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center"/>
        <w:rPr>
          <w:rFonts w:cs="Times New Roman"/>
          <w:i/>
          <w:iCs/>
          <w:sz w:val="24"/>
        </w:rPr>
      </w:pPr>
      <w:r w:rsidRPr="004F6EB5">
        <w:rPr>
          <w:rFonts w:cs="Times New Roman"/>
          <w:i/>
          <w:iCs/>
          <w:sz w:val="24"/>
        </w:rPr>
        <w:t>Романский М.</w:t>
      </w:r>
    </w:p>
    <w:p w:rsidR="00633A5E" w:rsidRPr="00FA556E" w:rsidRDefault="00427D58" w:rsidP="004F6E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center"/>
        <w:rPr>
          <w:rFonts w:cs="Times New Roman"/>
          <w:i/>
          <w:iCs/>
          <w:sz w:val="24"/>
        </w:rPr>
      </w:pPr>
      <w:r w:rsidRPr="00FA556E">
        <w:rPr>
          <w:rFonts w:cs="Times New Roman"/>
          <w:i/>
          <w:iCs/>
          <w:sz w:val="24"/>
        </w:rPr>
        <w:t>Студент</w:t>
      </w:r>
    </w:p>
    <w:p w:rsidR="00427D58" w:rsidRPr="00FA556E" w:rsidRDefault="00427D58" w:rsidP="004F6E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center"/>
        <w:rPr>
          <w:rFonts w:cs="Times New Roman"/>
          <w:i/>
          <w:iCs/>
          <w:sz w:val="24"/>
        </w:rPr>
      </w:pPr>
      <w:r w:rsidRPr="00FA556E">
        <w:rPr>
          <w:rFonts w:cs="Times New Roman"/>
          <w:i/>
          <w:iCs/>
          <w:sz w:val="24"/>
        </w:rPr>
        <w:t>Московского государственного университета им</w:t>
      </w:r>
      <w:r w:rsidR="00F517EA" w:rsidRPr="00FA556E">
        <w:rPr>
          <w:rFonts w:cs="Times New Roman"/>
          <w:i/>
          <w:iCs/>
          <w:sz w:val="24"/>
        </w:rPr>
        <w:t>ени</w:t>
      </w:r>
      <w:r w:rsidRPr="00FA556E">
        <w:rPr>
          <w:rFonts w:cs="Times New Roman"/>
          <w:i/>
          <w:iCs/>
          <w:sz w:val="24"/>
        </w:rPr>
        <w:t xml:space="preserve"> М.В. Ломоносова</w:t>
      </w:r>
      <w:r w:rsidR="00F517EA" w:rsidRPr="00FA556E">
        <w:rPr>
          <w:rFonts w:cs="Times New Roman"/>
          <w:i/>
          <w:iCs/>
          <w:sz w:val="24"/>
        </w:rPr>
        <w:t>, филологический факультет, Москва, Россия</w:t>
      </w:r>
    </w:p>
    <w:p w:rsidR="00427D58" w:rsidRPr="00FA556E" w:rsidRDefault="00F517EA" w:rsidP="004F6E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center"/>
        <w:rPr>
          <w:rFonts w:cs="Times New Roman"/>
          <w:i/>
          <w:iCs/>
          <w:sz w:val="24"/>
        </w:rPr>
      </w:pPr>
      <w:r w:rsidRPr="00FA556E">
        <w:rPr>
          <w:rFonts w:cs="Times New Roman"/>
          <w:i/>
          <w:iCs/>
          <w:sz w:val="24"/>
          <w:lang w:val="en-US"/>
        </w:rPr>
        <w:t>E</w:t>
      </w:r>
      <w:r w:rsidRPr="00FA556E">
        <w:rPr>
          <w:rFonts w:cs="Times New Roman"/>
          <w:i/>
          <w:iCs/>
          <w:sz w:val="24"/>
        </w:rPr>
        <w:t>–</w:t>
      </w:r>
      <w:r w:rsidRPr="00FA556E">
        <w:rPr>
          <w:rFonts w:cs="Times New Roman"/>
          <w:i/>
          <w:iCs/>
          <w:sz w:val="24"/>
          <w:lang w:val="en-US"/>
        </w:rPr>
        <w:t>mail</w:t>
      </w:r>
      <w:r w:rsidRPr="00FA556E">
        <w:rPr>
          <w:rFonts w:cs="Times New Roman"/>
          <w:i/>
          <w:iCs/>
          <w:sz w:val="24"/>
        </w:rPr>
        <w:t xml:space="preserve">: </w:t>
      </w:r>
      <w:hyperlink r:id="rId5" w:history="1">
        <w:r w:rsidR="000B2D3F" w:rsidRPr="00FA556E">
          <w:rPr>
            <w:rStyle w:val="a5"/>
            <w:rFonts w:cs="Times New Roman"/>
            <w:i/>
            <w:iCs/>
            <w:color w:val="000000" w:themeColor="text1"/>
            <w:sz w:val="24"/>
            <w:lang w:val="en-US"/>
          </w:rPr>
          <w:t>maksromansk</w:t>
        </w:r>
        <w:r w:rsidR="000B2D3F" w:rsidRPr="00FA556E">
          <w:rPr>
            <w:rStyle w:val="a5"/>
            <w:rFonts w:cs="Times New Roman"/>
            <w:i/>
            <w:iCs/>
            <w:color w:val="000000" w:themeColor="text1"/>
            <w:sz w:val="24"/>
          </w:rPr>
          <w:t>@</w:t>
        </w:r>
        <w:r w:rsidR="000B2D3F" w:rsidRPr="00FA556E">
          <w:rPr>
            <w:rStyle w:val="a5"/>
            <w:rFonts w:cs="Times New Roman"/>
            <w:i/>
            <w:iCs/>
            <w:color w:val="000000" w:themeColor="text1"/>
            <w:sz w:val="24"/>
            <w:lang w:val="en-US"/>
          </w:rPr>
          <w:t>mail</w:t>
        </w:r>
        <w:r w:rsidR="000B2D3F" w:rsidRPr="00FA556E">
          <w:rPr>
            <w:rStyle w:val="a5"/>
            <w:rFonts w:cs="Times New Roman"/>
            <w:i/>
            <w:iCs/>
            <w:color w:val="000000" w:themeColor="text1"/>
            <w:sz w:val="24"/>
          </w:rPr>
          <w:t>.</w:t>
        </w:r>
        <w:proofErr w:type="spellStart"/>
        <w:r w:rsidR="000B2D3F" w:rsidRPr="00FA556E">
          <w:rPr>
            <w:rStyle w:val="a5"/>
            <w:rFonts w:cs="Times New Roman"/>
            <w:i/>
            <w:iCs/>
            <w:color w:val="000000" w:themeColor="text1"/>
            <w:sz w:val="24"/>
            <w:lang w:val="en-US"/>
          </w:rPr>
          <w:t>ru</w:t>
        </w:r>
        <w:proofErr w:type="spellEnd"/>
      </w:hyperlink>
    </w:p>
    <w:p w:rsidR="00CB7E9B" w:rsidRPr="00FA556E" w:rsidRDefault="00CB7E9B" w:rsidP="00FA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cs="Times New Roman"/>
          <w:sz w:val="24"/>
        </w:rPr>
      </w:pPr>
    </w:p>
    <w:p w:rsidR="00CB7E9B" w:rsidRPr="00FA556E" w:rsidRDefault="00CB7E9B" w:rsidP="00FA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iCs/>
          <w:sz w:val="24"/>
        </w:rPr>
      </w:pPr>
      <w:r w:rsidRPr="00FA556E">
        <w:rPr>
          <w:rFonts w:cs="Times New Roman"/>
          <w:sz w:val="24"/>
        </w:rPr>
        <w:t xml:space="preserve">Предикативные наречия занимают важное место как в теории, так и в практике преподавания русского языка как иностранного. Такие лексемы, </w:t>
      </w:r>
      <w:r w:rsidRPr="00FA556E">
        <w:rPr>
          <w:sz w:val="24"/>
        </w:rPr>
        <w:t xml:space="preserve">занимающие позицию главного члена односоставного безличного предложения, имеют долгую, многогранную и богатую историю изучения. </w:t>
      </w:r>
      <w:r w:rsidRPr="00FA556E">
        <w:rPr>
          <w:rFonts w:cs="Times New Roman"/>
          <w:sz w:val="24"/>
        </w:rPr>
        <w:t xml:space="preserve">Предикативные наречия начинают исследоваться уже в 19 веке, однако подлинное научное освещение получают уже в 20 веке, в работах Л.В. Щербы. </w:t>
      </w:r>
      <w:r w:rsidRPr="00FA556E">
        <w:rPr>
          <w:iCs/>
          <w:sz w:val="24"/>
        </w:rPr>
        <w:t>В труде «О частях речи в русском языке» он предложил называть такие единицы «словами категории состояния» [Щерба: 13].</w:t>
      </w:r>
      <w:r w:rsidR="00AB3550" w:rsidRPr="00FA556E">
        <w:rPr>
          <w:iCs/>
          <w:sz w:val="24"/>
        </w:rPr>
        <w:t xml:space="preserve"> </w:t>
      </w:r>
    </w:p>
    <w:p w:rsidR="00AB3550" w:rsidRPr="00FA556E" w:rsidRDefault="00AB3550" w:rsidP="00FA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  <w:r w:rsidRPr="00FA556E">
        <w:rPr>
          <w:sz w:val="24"/>
        </w:rPr>
        <w:t xml:space="preserve">В рамках функционально-коммуникативной грамматики, являющейся ядром лингводидактической модели описания русского языка, состояние необходимо рассматривать в качестве функционально-семантического поля и функционально-семантической категории. </w:t>
      </w:r>
    </w:p>
    <w:p w:rsidR="00ED3490" w:rsidRPr="00FA556E" w:rsidRDefault="00AB3550" w:rsidP="00FA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iCs/>
          <w:sz w:val="24"/>
        </w:rPr>
      </w:pPr>
      <w:r w:rsidRPr="00FA556E">
        <w:rPr>
          <w:rFonts w:eastAsiaTheme="majorEastAsia"/>
          <w:bCs/>
          <w:sz w:val="24"/>
        </w:rPr>
        <w:t>ФСП состояния включает как лексические, так и лексико-грамматические средства выражения:</w:t>
      </w:r>
      <w:r w:rsidRPr="00FA556E">
        <w:rPr>
          <w:sz w:val="24"/>
        </w:rPr>
        <w:t xml:space="preserve"> «значение состояния, как это прекрасно показал еще сам Л.В. Щерба – это в первую очередь лексическое значение слова, но также и лексико-грамматическое значение словоформы» </w:t>
      </w:r>
      <w:r w:rsidRPr="00FA556E">
        <w:rPr>
          <w:iCs/>
          <w:sz w:val="24"/>
        </w:rPr>
        <w:t>[</w:t>
      </w:r>
      <w:proofErr w:type="spellStart"/>
      <w:r w:rsidRPr="00FA556E">
        <w:rPr>
          <w:iCs/>
          <w:sz w:val="24"/>
        </w:rPr>
        <w:t>Всеволодова</w:t>
      </w:r>
      <w:proofErr w:type="spellEnd"/>
      <w:r w:rsidRPr="00FA556E">
        <w:rPr>
          <w:iCs/>
          <w:sz w:val="24"/>
        </w:rPr>
        <w:t>: 18].</w:t>
      </w:r>
      <w:r w:rsidR="00ED3490" w:rsidRPr="00FA556E">
        <w:rPr>
          <w:iCs/>
          <w:sz w:val="24"/>
        </w:rPr>
        <w:t xml:space="preserve"> ФСП состояния включает различные части речи. Ядром функционально-семантического поля состояния являются наречия, выступающие в предикативной функции. </w:t>
      </w:r>
    </w:p>
    <w:p w:rsidR="00861075" w:rsidRPr="00FA556E" w:rsidRDefault="00861075" w:rsidP="00FA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  <w:r w:rsidRPr="00FA556E">
        <w:rPr>
          <w:sz w:val="24"/>
        </w:rPr>
        <w:t>Г.А. Золотова</w:t>
      </w:r>
      <w:r w:rsidR="004F6EB5">
        <w:rPr>
          <w:sz w:val="24"/>
        </w:rPr>
        <w:t>,</w:t>
      </w:r>
      <w:r w:rsidRPr="00FA556E">
        <w:rPr>
          <w:sz w:val="24"/>
        </w:rPr>
        <w:t xml:space="preserve"> анализируя все лексемы на «о» в русском языке, разграничила краткие прилагательные на «о» (</w:t>
      </w:r>
      <w:r w:rsidRPr="00FA556E">
        <w:rPr>
          <w:i/>
          <w:iCs/>
          <w:sz w:val="24"/>
        </w:rPr>
        <w:t>Дитя глупо</w:t>
      </w:r>
      <w:r w:rsidRPr="00FA556E">
        <w:rPr>
          <w:sz w:val="24"/>
        </w:rPr>
        <w:t>), собственно наречия, обозначающие характеристику действия (</w:t>
      </w:r>
      <w:r w:rsidRPr="00FA556E">
        <w:rPr>
          <w:i/>
          <w:iCs/>
          <w:sz w:val="24"/>
        </w:rPr>
        <w:t>Громко смеются</w:t>
      </w:r>
      <w:r w:rsidRPr="00FA556E">
        <w:rPr>
          <w:sz w:val="24"/>
        </w:rPr>
        <w:t xml:space="preserve">), </w:t>
      </w:r>
      <w:proofErr w:type="spellStart"/>
      <w:r w:rsidRPr="00FA556E">
        <w:rPr>
          <w:sz w:val="24"/>
        </w:rPr>
        <w:t>предикативы</w:t>
      </w:r>
      <w:proofErr w:type="spellEnd"/>
      <w:r w:rsidRPr="00FA556E">
        <w:rPr>
          <w:sz w:val="24"/>
        </w:rPr>
        <w:t xml:space="preserve"> состояния (</w:t>
      </w:r>
      <w:r w:rsidRPr="00FA556E">
        <w:rPr>
          <w:i/>
          <w:iCs/>
          <w:sz w:val="24"/>
        </w:rPr>
        <w:t>Нам весело</w:t>
      </w:r>
      <w:r w:rsidRPr="00FA556E">
        <w:rPr>
          <w:sz w:val="24"/>
        </w:rPr>
        <w:t xml:space="preserve">) и </w:t>
      </w:r>
      <w:proofErr w:type="spellStart"/>
      <w:r w:rsidRPr="00FA556E">
        <w:rPr>
          <w:sz w:val="24"/>
        </w:rPr>
        <w:t>предикативы</w:t>
      </w:r>
      <w:proofErr w:type="spellEnd"/>
      <w:r w:rsidRPr="00FA556E">
        <w:rPr>
          <w:sz w:val="24"/>
        </w:rPr>
        <w:t xml:space="preserve"> оценки (</w:t>
      </w:r>
      <w:r w:rsidRPr="00FA556E">
        <w:rPr>
          <w:i/>
          <w:iCs/>
          <w:sz w:val="24"/>
        </w:rPr>
        <w:t>Ссориться – глупо</w:t>
      </w:r>
      <w:r w:rsidRPr="00FA556E">
        <w:rPr>
          <w:sz w:val="24"/>
        </w:rPr>
        <w:t>), попутно выделяя у таких предикатов способность иметь синтаксическую функцию наречия: (</w:t>
      </w:r>
      <w:r w:rsidRPr="00FA556E">
        <w:rPr>
          <w:i/>
          <w:iCs/>
          <w:sz w:val="24"/>
        </w:rPr>
        <w:t>Они глупо ссорятся</w:t>
      </w:r>
      <w:r w:rsidRPr="00FA556E">
        <w:rPr>
          <w:sz w:val="24"/>
        </w:rPr>
        <w:t>) [Золотова и др.].</w:t>
      </w:r>
    </w:p>
    <w:p w:rsidR="00861075" w:rsidRPr="00FA556E" w:rsidRDefault="00861075" w:rsidP="00FA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  <w:r w:rsidRPr="00FA556E">
        <w:rPr>
          <w:sz w:val="24"/>
        </w:rPr>
        <w:t xml:space="preserve">Н.Ю. Шведова, также разрабатывавшая эту проблематику, в академической Русской Грамматике 1980 года [Русская грамматика 1980, </w:t>
      </w:r>
      <w:r w:rsidRPr="00FA556E">
        <w:rPr>
          <w:sz w:val="24"/>
          <w:lang w:val="en-US"/>
        </w:rPr>
        <w:t>I</w:t>
      </w:r>
      <w:r w:rsidRPr="00FA556E">
        <w:rPr>
          <w:sz w:val="24"/>
        </w:rPr>
        <w:t xml:space="preserve">], разделила лексемы такого типа на субъектные и бессубъектные предикативные наречия и </w:t>
      </w:r>
      <w:proofErr w:type="spellStart"/>
      <w:r w:rsidRPr="00FA556E">
        <w:rPr>
          <w:sz w:val="24"/>
        </w:rPr>
        <w:t>предикативы</w:t>
      </w:r>
      <w:proofErr w:type="spellEnd"/>
      <w:r w:rsidRPr="00FA556E">
        <w:rPr>
          <w:sz w:val="24"/>
        </w:rPr>
        <w:t xml:space="preserve"> – слова с модальным значением, способные употребляться только в функции сказуемого. </w:t>
      </w:r>
    </w:p>
    <w:p w:rsidR="00861075" w:rsidRPr="00FA556E" w:rsidRDefault="00861075" w:rsidP="00FA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  <w:r w:rsidRPr="00FA556E">
        <w:rPr>
          <w:sz w:val="24"/>
        </w:rPr>
        <w:t xml:space="preserve">Разные исследователи, начиная с Л.В. Щербы, по-разному определяют количество предикативных наречий в русском языке. В самом исследовании Л.В. Щербы не дается точного числа таких наречий, однако в тексте работы таковых около двенадцати-пятнадцати штук. Г.А. Золотова определяет количество предикативных наречий как «несколько десятков» [Золотова и др.: 150]. В концепции Русской Грамматики 1980 года мы насчитали около тридцати приводимых лексем. В.И. Красных в словаре сочетаемости «Русские глаголы и </w:t>
      </w:r>
      <w:proofErr w:type="spellStart"/>
      <w:r w:rsidRPr="00FA556E">
        <w:rPr>
          <w:sz w:val="24"/>
        </w:rPr>
        <w:t>предикативы</w:t>
      </w:r>
      <w:proofErr w:type="spellEnd"/>
      <w:r w:rsidRPr="00FA556E">
        <w:rPr>
          <w:sz w:val="24"/>
        </w:rPr>
        <w:t xml:space="preserve">» выделяет 205 наречий, способных употребляться в предикативной позиции. Мы обнаружили около </w:t>
      </w:r>
      <w:r w:rsidRPr="00FA556E">
        <w:rPr>
          <w:b/>
          <w:bCs/>
          <w:sz w:val="24"/>
        </w:rPr>
        <w:t>820 единиц</w:t>
      </w:r>
      <w:r w:rsidRPr="00FA556E">
        <w:rPr>
          <w:sz w:val="24"/>
        </w:rPr>
        <w:t>.</w:t>
      </w:r>
    </w:p>
    <w:p w:rsidR="00861075" w:rsidRPr="00FA556E" w:rsidRDefault="00861075" w:rsidP="00FA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  <w:r w:rsidRPr="00FA556E">
        <w:rPr>
          <w:sz w:val="24"/>
        </w:rPr>
        <w:t>В связи с уже обозначенной функциональной неоднородностью анализируемого материала представляется возможным создание функционально-грамматического поля наречной предикативности</w:t>
      </w:r>
      <w:r w:rsidR="004F6EB5">
        <w:rPr>
          <w:sz w:val="24"/>
        </w:rPr>
        <w:t>.</w:t>
      </w:r>
    </w:p>
    <w:p w:rsidR="00861075" w:rsidRPr="00FA556E" w:rsidRDefault="00861075" w:rsidP="00FA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  <w:r w:rsidRPr="00FA556E">
        <w:rPr>
          <w:sz w:val="24"/>
        </w:rPr>
        <w:t xml:space="preserve">В </w:t>
      </w:r>
      <w:r w:rsidRPr="00FA556E">
        <w:rPr>
          <w:b/>
          <w:bCs/>
          <w:sz w:val="24"/>
        </w:rPr>
        <w:t>ядре</w:t>
      </w:r>
      <w:r w:rsidRPr="00FA556E">
        <w:rPr>
          <w:sz w:val="24"/>
        </w:rPr>
        <w:t xml:space="preserve"> поля расположены наречия, способные выполнять </w:t>
      </w:r>
      <w:r w:rsidRPr="00FA556E">
        <w:rPr>
          <w:sz w:val="24"/>
          <w:u w:val="single"/>
        </w:rPr>
        <w:t>исключительно</w:t>
      </w:r>
      <w:r w:rsidRPr="00FA556E">
        <w:rPr>
          <w:sz w:val="24"/>
        </w:rPr>
        <w:t xml:space="preserve"> предикативную функцию. Такие единицы названы наречиями 1 класса. </w:t>
      </w:r>
    </w:p>
    <w:p w:rsidR="00861075" w:rsidRPr="00FA556E" w:rsidRDefault="00861075" w:rsidP="00FA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  <w:r w:rsidRPr="00FA556E">
        <w:rPr>
          <w:sz w:val="24"/>
        </w:rPr>
        <w:t xml:space="preserve">На </w:t>
      </w:r>
      <w:r w:rsidRPr="00FA556E">
        <w:rPr>
          <w:b/>
          <w:bCs/>
          <w:sz w:val="24"/>
        </w:rPr>
        <w:t>ближней периферии</w:t>
      </w:r>
      <w:r w:rsidRPr="00FA556E">
        <w:rPr>
          <w:sz w:val="24"/>
        </w:rPr>
        <w:t xml:space="preserve"> расположен самый объемный класс наречий, способных в разных контекстах быть как предикатами, так и обстоятельствами. На </w:t>
      </w:r>
      <w:r w:rsidRPr="00FA556E">
        <w:rPr>
          <w:b/>
          <w:bCs/>
          <w:sz w:val="24"/>
        </w:rPr>
        <w:t>дальней периферии</w:t>
      </w:r>
      <w:r w:rsidRPr="00FA556E">
        <w:rPr>
          <w:sz w:val="24"/>
        </w:rPr>
        <w:t xml:space="preserve"> функционально-грамматического поля наречной предикативности </w:t>
      </w:r>
      <w:r w:rsidRPr="00FA556E">
        <w:rPr>
          <w:sz w:val="24"/>
        </w:rPr>
        <w:lastRenderedPageBreak/>
        <w:t>дислоцирован в некоторой степени неопределенный и субъективно отобранный класс наречий, способных стоять в позиции предиката лишь потенциально.</w:t>
      </w:r>
    </w:p>
    <w:p w:rsidR="004F6EB5" w:rsidRDefault="00861075" w:rsidP="004F6E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  <w:r w:rsidRPr="00FA556E">
        <w:rPr>
          <w:sz w:val="24"/>
        </w:rPr>
        <w:t xml:space="preserve">Второй ступенью классификации предикативных наречных единиц является их функционально-семантическое разделение на наречия, обозначающие состояние субъекта, и наречия, маркирующие оценку некоего объекта в широком смысле слова. Назовём такие единицы субъектными, объектными и субъектно-объектными наречиями. Одним из главных критериев разграничения субъектных и объектных предикативных наречий является критерий отнесенности предиката к личному или обобщенному субъекту. </w:t>
      </w:r>
    </w:p>
    <w:p w:rsidR="00FA556E" w:rsidRPr="00FA556E" w:rsidRDefault="00861075" w:rsidP="004F6E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  <w:r w:rsidRPr="00FA556E">
        <w:rPr>
          <w:sz w:val="24"/>
        </w:rPr>
        <w:t xml:space="preserve">Следующим важным шагом в классификации предикативных наречий является признание того факта, что разные наречия сочетаются с инфинитивом глагола по-разному. Определим такие единицы как инфинитивные, </w:t>
      </w:r>
      <w:proofErr w:type="spellStart"/>
      <w:r w:rsidRPr="00FA556E">
        <w:rPr>
          <w:sz w:val="24"/>
        </w:rPr>
        <w:t>безинфинитивные</w:t>
      </w:r>
      <w:proofErr w:type="spellEnd"/>
      <w:r w:rsidRPr="00FA556E">
        <w:rPr>
          <w:sz w:val="24"/>
        </w:rPr>
        <w:t xml:space="preserve"> и инфинитивно-</w:t>
      </w:r>
      <w:proofErr w:type="spellStart"/>
      <w:r w:rsidRPr="00FA556E">
        <w:rPr>
          <w:sz w:val="24"/>
        </w:rPr>
        <w:t>безинфинитивными</w:t>
      </w:r>
      <w:proofErr w:type="spellEnd"/>
      <w:r w:rsidRPr="00FA556E">
        <w:rPr>
          <w:sz w:val="24"/>
        </w:rPr>
        <w:t xml:space="preserve"> наречиями. Финальным этапом исследования проблематики предикативных наречий в русском языке, на наш взгляд, является выделение их семантико-синтаксических разрядов: анализ предикативных наречий по линии как субъектности / </w:t>
      </w:r>
      <w:proofErr w:type="spellStart"/>
      <w:r w:rsidRPr="00FA556E">
        <w:rPr>
          <w:sz w:val="24"/>
        </w:rPr>
        <w:t>объектности</w:t>
      </w:r>
      <w:proofErr w:type="spellEnd"/>
      <w:r w:rsidRPr="00FA556E">
        <w:rPr>
          <w:sz w:val="24"/>
        </w:rPr>
        <w:t xml:space="preserve">, так и </w:t>
      </w:r>
      <w:proofErr w:type="spellStart"/>
      <w:r w:rsidRPr="00FA556E">
        <w:rPr>
          <w:sz w:val="24"/>
        </w:rPr>
        <w:t>инфинитивности</w:t>
      </w:r>
      <w:proofErr w:type="spellEnd"/>
      <w:r w:rsidRPr="00FA556E">
        <w:rPr>
          <w:sz w:val="24"/>
        </w:rPr>
        <w:t xml:space="preserve"> / </w:t>
      </w:r>
      <w:proofErr w:type="spellStart"/>
      <w:r w:rsidRPr="00FA556E">
        <w:rPr>
          <w:sz w:val="24"/>
        </w:rPr>
        <w:t>безинфинитивности</w:t>
      </w:r>
      <w:proofErr w:type="spellEnd"/>
      <w:r w:rsidRPr="00FA556E">
        <w:rPr>
          <w:sz w:val="24"/>
        </w:rPr>
        <w:t>.</w:t>
      </w:r>
      <w:r w:rsidR="00292989" w:rsidRPr="00FA556E">
        <w:rPr>
          <w:sz w:val="24"/>
        </w:rPr>
        <w:t xml:space="preserve"> В результате было выделено 9 лексико-семантических классов предикативных наречий</w:t>
      </w:r>
      <w:r w:rsidR="004F6EB5">
        <w:rPr>
          <w:sz w:val="24"/>
        </w:rPr>
        <w:t>.</w:t>
      </w:r>
    </w:p>
    <w:p w:rsidR="00292989" w:rsidRPr="00FA556E" w:rsidRDefault="00292989" w:rsidP="00FA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  <w:r w:rsidRPr="00FA556E">
        <w:rPr>
          <w:sz w:val="24"/>
        </w:rPr>
        <w:t>Значение выделения семантико-синтаксических разрядов в теории и практике преподавания РКИ состоит в том, что каждый с.-с. разряд имеет разное количество заполняемых синтаксических позиций, соответственно, наречия, относящиеся к разным с.-с. классам, имеют различный синтаксический и коммуникативный потенциал, который можно измерить. Очевидно, что в методическом плане наиболее выгодно обучать именно «многофункциональным» наречиям, т.е. таким, использовать которые можно в большем количестве синтаксических позиций.</w:t>
      </w:r>
    </w:p>
    <w:p w:rsidR="00292989" w:rsidRPr="00FA556E" w:rsidRDefault="00292989" w:rsidP="00FA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iCs/>
          <w:sz w:val="24"/>
          <w:shd w:val="clear" w:color="auto" w:fill="FFFFFF"/>
        </w:rPr>
      </w:pPr>
      <w:r w:rsidRPr="00FA556E">
        <w:rPr>
          <w:iCs/>
          <w:sz w:val="24"/>
          <w:shd w:val="clear" w:color="auto" w:fill="FFFFFF"/>
        </w:rPr>
        <w:t>Итак, признание отнесенности рассматриваемых единиц к категориальному классу наречий, создание и разработка ФГП наречной предикативности и теории семантико-синтаксических разрядов, методически грамотная их реализация в аудитории во многом усовершенствуют теорию и практику преподавания РКИ в данной области.</w:t>
      </w:r>
    </w:p>
    <w:p w:rsidR="00292989" w:rsidRPr="00FA556E" w:rsidRDefault="00292989" w:rsidP="00FA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</w:p>
    <w:p w:rsidR="00861075" w:rsidRDefault="00B037E9" w:rsidP="00FA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  <w:r>
        <w:rPr>
          <w:sz w:val="24"/>
        </w:rPr>
        <w:t xml:space="preserve">Литература: </w:t>
      </w:r>
    </w:p>
    <w:p w:rsidR="004F6EB5" w:rsidRDefault="004F6EB5" w:rsidP="00FA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</w:p>
    <w:p w:rsidR="004F6EB5" w:rsidRPr="004F6EB5" w:rsidRDefault="004F6EB5" w:rsidP="004F6EB5">
      <w:pPr>
        <w:pStyle w:val="a4"/>
        <w:numPr>
          <w:ilvl w:val="0"/>
          <w:numId w:val="2"/>
        </w:numPr>
        <w:spacing w:line="240" w:lineRule="auto"/>
      </w:pPr>
      <w:proofErr w:type="spellStart"/>
      <w:r w:rsidRPr="004F6EB5">
        <w:rPr>
          <w:rFonts w:eastAsiaTheme="minorHAnsi"/>
        </w:rPr>
        <w:t>Всеволодова</w:t>
      </w:r>
      <w:proofErr w:type="spellEnd"/>
      <w:r w:rsidRPr="004F6EB5">
        <w:rPr>
          <w:rFonts w:eastAsiaTheme="minorHAnsi"/>
        </w:rPr>
        <w:t xml:space="preserve"> М.В. Теория функционально-коммуникативного синтаксиса: фрагмент фундаментальной прикладной (педагогической) модели языка. М.: УРСС, 2017. 656 с.</w:t>
      </w:r>
    </w:p>
    <w:p w:rsidR="004F6EB5" w:rsidRPr="004F6EB5" w:rsidRDefault="004F6EB5" w:rsidP="004F6EB5">
      <w:pPr>
        <w:pStyle w:val="a4"/>
        <w:numPr>
          <w:ilvl w:val="0"/>
          <w:numId w:val="2"/>
        </w:numPr>
        <w:spacing w:line="240" w:lineRule="auto"/>
      </w:pPr>
      <w:r w:rsidRPr="004F6EB5">
        <w:t xml:space="preserve">Золотова Г.А., </w:t>
      </w:r>
      <w:proofErr w:type="spellStart"/>
      <w:r w:rsidRPr="004F6EB5">
        <w:t>Онипенко</w:t>
      </w:r>
      <w:proofErr w:type="spellEnd"/>
      <w:r w:rsidRPr="004F6EB5">
        <w:t xml:space="preserve"> Н.К., Сидорова М.Ю. Коммуникативная грамматика русского языка. М.: Изд-во </w:t>
      </w:r>
      <w:proofErr w:type="spellStart"/>
      <w:r w:rsidRPr="004F6EB5">
        <w:t>Моск</w:t>
      </w:r>
      <w:proofErr w:type="spellEnd"/>
      <w:r w:rsidRPr="004F6EB5">
        <w:t>. ун-та, 2004. 544 с.</w:t>
      </w:r>
    </w:p>
    <w:p w:rsidR="004F6EB5" w:rsidRPr="004F6EB5" w:rsidRDefault="004F6EB5" w:rsidP="004F6EB5">
      <w:pPr>
        <w:pStyle w:val="a4"/>
        <w:numPr>
          <w:ilvl w:val="0"/>
          <w:numId w:val="2"/>
        </w:numPr>
        <w:spacing w:line="240" w:lineRule="auto"/>
      </w:pPr>
      <w:r w:rsidRPr="004F6EB5">
        <w:t>Русская грамматика. Т. 1. Фонетика. Фонология. Ударение. Интонация. Словообразование. Морфология / Гл. ред. Н.Ю. Шведова. М.: Наука, 1980. 783 с.</w:t>
      </w:r>
    </w:p>
    <w:p w:rsidR="004F6EB5" w:rsidRPr="004F6EB5" w:rsidRDefault="004F6EB5" w:rsidP="004F6EB5">
      <w:pPr>
        <w:pStyle w:val="a4"/>
        <w:numPr>
          <w:ilvl w:val="0"/>
          <w:numId w:val="2"/>
        </w:numPr>
        <w:spacing w:line="240" w:lineRule="auto"/>
      </w:pPr>
      <w:r w:rsidRPr="004F6EB5">
        <w:t>Щерба Л.В. О частях речи в русском языке // Языковая система и речевая деятельность. М.: Наука. 1974. С. 77–100.</w:t>
      </w:r>
    </w:p>
    <w:p w:rsidR="004F6EB5" w:rsidRPr="004F6EB5" w:rsidRDefault="004F6EB5" w:rsidP="004F6E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szCs w:val="28"/>
        </w:rPr>
      </w:pPr>
    </w:p>
    <w:p w:rsidR="004F6EB5" w:rsidRPr="004F6EB5" w:rsidRDefault="004F6EB5" w:rsidP="004F6E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szCs w:val="28"/>
        </w:rPr>
      </w:pPr>
    </w:p>
    <w:p w:rsidR="004F6EB5" w:rsidRPr="00FA556E" w:rsidRDefault="004F6EB5" w:rsidP="004F6E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both"/>
        <w:rPr>
          <w:sz w:val="24"/>
        </w:rPr>
      </w:pPr>
    </w:p>
    <w:p w:rsidR="00861075" w:rsidRPr="00FA556E" w:rsidRDefault="00861075" w:rsidP="004F6E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</w:p>
    <w:p w:rsidR="00AB3550" w:rsidRPr="00FA556E" w:rsidRDefault="00AB3550" w:rsidP="00FA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sz w:val="24"/>
        </w:rPr>
      </w:pPr>
    </w:p>
    <w:p w:rsidR="00AB3550" w:rsidRPr="00FA556E" w:rsidRDefault="00AB3550" w:rsidP="00FA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iCs/>
          <w:sz w:val="24"/>
        </w:rPr>
      </w:pPr>
    </w:p>
    <w:p w:rsidR="00CB7E9B" w:rsidRPr="00FA556E" w:rsidRDefault="00CB7E9B" w:rsidP="00FA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cs="Times New Roman"/>
          <w:sz w:val="24"/>
        </w:rPr>
      </w:pPr>
    </w:p>
    <w:p w:rsidR="00CB7E9B" w:rsidRPr="00FA556E" w:rsidRDefault="00CB7E9B" w:rsidP="00FA5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cs="Times New Roman"/>
          <w:sz w:val="24"/>
        </w:rPr>
      </w:pPr>
    </w:p>
    <w:p w:rsidR="004978FF" w:rsidRPr="00FA556E" w:rsidRDefault="004978FF" w:rsidP="00FA556E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sectPr w:rsidR="004978FF" w:rsidRPr="00FA556E" w:rsidSect="00FA556E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175C"/>
    <w:multiLevelType w:val="hybridMultilevel"/>
    <w:tmpl w:val="A4222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64F88"/>
    <w:multiLevelType w:val="hybridMultilevel"/>
    <w:tmpl w:val="9B4AF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900043">
    <w:abstractNumId w:val="0"/>
  </w:num>
  <w:num w:numId="2" w16cid:durableId="1818763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00"/>
    <w:rsid w:val="00023A69"/>
    <w:rsid w:val="00075F00"/>
    <w:rsid w:val="000B2D3F"/>
    <w:rsid w:val="00292989"/>
    <w:rsid w:val="00427D58"/>
    <w:rsid w:val="00470228"/>
    <w:rsid w:val="004978FF"/>
    <w:rsid w:val="004F6EB5"/>
    <w:rsid w:val="00633A5E"/>
    <w:rsid w:val="00640412"/>
    <w:rsid w:val="00670C57"/>
    <w:rsid w:val="00822CEB"/>
    <w:rsid w:val="0084791D"/>
    <w:rsid w:val="00861075"/>
    <w:rsid w:val="00877210"/>
    <w:rsid w:val="009F102B"/>
    <w:rsid w:val="00A82286"/>
    <w:rsid w:val="00AB3550"/>
    <w:rsid w:val="00B037E9"/>
    <w:rsid w:val="00B34CE6"/>
    <w:rsid w:val="00B543F6"/>
    <w:rsid w:val="00C93FE8"/>
    <w:rsid w:val="00CB7E9B"/>
    <w:rsid w:val="00DC60F2"/>
    <w:rsid w:val="00ED3490"/>
    <w:rsid w:val="00F279D2"/>
    <w:rsid w:val="00F517EA"/>
    <w:rsid w:val="00FA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FC7865"/>
  <w15:chartTrackingRefBased/>
  <w15:docId w15:val="{434D1141-CDF7-754D-9EEC-0861A407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Курсовой"/>
    <w:qFormat/>
    <w:rsid w:val="00023A69"/>
    <w:pPr>
      <w:pBdr>
        <w:top w:val="single" w:sz="4" w:space="2" w:color="auto"/>
        <w:left w:val="single" w:sz="4" w:space="3" w:color="auto"/>
        <w:bottom w:val="single" w:sz="4" w:space="2" w:color="auto"/>
        <w:right w:val="single" w:sz="4" w:space="2" w:color="auto"/>
      </w:pBdr>
      <w:spacing w:line="360" w:lineRule="auto"/>
      <w:ind w:firstLine="709"/>
    </w:pPr>
    <w:rPr>
      <w:rFonts w:ascii="Times New Roman" w:hAnsi="Times New Roman"/>
      <w:color w:val="000000" w:themeColor="text1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A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 w:line="240" w:lineRule="auto"/>
      <w:ind w:firstLine="0"/>
    </w:pPr>
    <w:rPr>
      <w:rFonts w:eastAsia="Times New Roman" w:cs="Times New Roman"/>
      <w:color w:val="auto"/>
      <w:sz w:val="24"/>
      <w:lang w:eastAsia="ru-RU" w:bidi="hi-IN"/>
    </w:rPr>
  </w:style>
  <w:style w:type="paragraph" w:styleId="a4">
    <w:name w:val="List Paragraph"/>
    <w:basedOn w:val="a"/>
    <w:uiPriority w:val="34"/>
    <w:qFormat/>
    <w:rsid w:val="00B34C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720"/>
      <w:contextualSpacing/>
      <w:jc w:val="both"/>
    </w:pPr>
    <w:rPr>
      <w:rFonts w:eastAsia="Times New Roman" w:cs="Times New Roman"/>
      <w:color w:val="auto"/>
      <w:sz w:val="24"/>
      <w:lang w:eastAsia="ru-RU"/>
    </w:rPr>
  </w:style>
  <w:style w:type="character" w:styleId="a5">
    <w:name w:val="Hyperlink"/>
    <w:basedOn w:val="a0"/>
    <w:uiPriority w:val="99"/>
    <w:unhideWhenUsed/>
    <w:rsid w:val="000B2D3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B2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1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0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ksroman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717</Words>
  <Characters>5276</Characters>
  <Application>Microsoft Office Word</Application>
  <DocSecurity>0</DocSecurity>
  <Lines>101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Романский</dc:creator>
  <cp:keywords/>
  <dc:description/>
  <cp:lastModifiedBy>Максим Романский</cp:lastModifiedBy>
  <cp:revision>9</cp:revision>
  <dcterms:created xsi:type="dcterms:W3CDTF">2025-02-25T14:17:00Z</dcterms:created>
  <dcterms:modified xsi:type="dcterms:W3CDTF">2025-03-02T20:06:00Z</dcterms:modified>
</cp:coreProperties>
</file>