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A6007B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Операции с категориями «новое – старое» и «впервые» («первый») в историческом тексте (на примере российских учебников по истории Китая)</w:t>
      </w:r>
    </w:p>
    <w:p w14:paraId="2A42B334">
      <w:pPr>
        <w:ind w:firstLine="0"/>
        <w:jc w:val="center"/>
        <w:rPr>
          <w:rFonts w:eastAsiaTheme="minorEastAsia"/>
          <w:b/>
          <w:bCs/>
          <w:i/>
          <w:iCs/>
          <w:lang w:val="ru-RU"/>
        </w:rPr>
      </w:pPr>
      <w:r>
        <w:rPr>
          <w:rFonts w:eastAsiaTheme="minorEastAsia"/>
          <w:i/>
          <w:iCs/>
          <w:lang w:val="ru-RU"/>
        </w:rPr>
        <w:t>Ли Гуаньяо</w:t>
      </w:r>
    </w:p>
    <w:p w14:paraId="13633829">
      <w:pPr>
        <w:ind w:firstLine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Аспирант</w:t>
      </w:r>
    </w:p>
    <w:p w14:paraId="56511D7A">
      <w:pPr>
        <w:ind w:firstLine="0"/>
        <w:jc w:val="center"/>
        <w:rPr>
          <w:rFonts w:eastAsia="宋体"/>
          <w:i/>
          <w:iCs/>
          <w:lang w:val="ru-RU"/>
        </w:rPr>
      </w:pPr>
      <w:r>
        <w:rPr>
          <w:rFonts w:eastAsia="宋体"/>
          <w:i/>
          <w:iCs/>
          <w:lang w:val="ru-RU"/>
        </w:rPr>
        <w:t>Московский государственный университет имени М. В. Ломоносова. Москва</w:t>
      </w:r>
    </w:p>
    <w:p w14:paraId="1D4EE5BC">
      <w:pPr>
        <w:ind w:firstLine="0"/>
        <w:jc w:val="center"/>
        <w:rPr>
          <w:rFonts w:eastAsia="宋体"/>
          <w:lang w:val="ru-RU"/>
        </w:rPr>
      </w:pPr>
      <w:r>
        <w:rPr>
          <w:rFonts w:eastAsia="宋体"/>
          <w:i/>
          <w:iCs/>
        </w:rPr>
        <w:t>ganyaoli</w:t>
      </w:r>
      <w:r>
        <w:rPr>
          <w:rFonts w:eastAsia="宋体"/>
          <w:i/>
          <w:iCs/>
          <w:lang w:val="ru-RU"/>
        </w:rPr>
        <w:t>@</w:t>
      </w:r>
      <w:r>
        <w:rPr>
          <w:rFonts w:eastAsia="宋体"/>
          <w:i/>
          <w:iCs/>
        </w:rPr>
        <w:t>yandex</w:t>
      </w:r>
      <w:r>
        <w:rPr>
          <w:rFonts w:eastAsia="宋体"/>
          <w:i/>
          <w:iCs/>
          <w:lang w:val="ru-RU"/>
        </w:rPr>
        <w:t>.</w:t>
      </w:r>
      <w:r>
        <w:rPr>
          <w:rFonts w:eastAsia="宋体"/>
          <w:i/>
          <w:iCs/>
        </w:rPr>
        <w:t>ru</w:t>
      </w:r>
    </w:p>
    <w:p w14:paraId="704EC5C7">
      <w:pPr>
        <w:autoSpaceDE w:val="0"/>
        <w:autoSpaceDN w:val="0"/>
        <w:adjustRightInd w:val="0"/>
        <w:rPr>
          <w:rFonts w:eastAsia="TimesNewRomanPSMT"/>
          <w:b/>
          <w:bCs/>
          <w:sz w:val="28"/>
          <w:szCs w:val="28"/>
          <w:lang w:val="ru-RU"/>
        </w:rPr>
      </w:pPr>
    </w:p>
    <w:p w14:paraId="5770D71C">
      <w:pPr>
        <w:rPr>
          <w:rFonts w:hint="default"/>
          <w:lang w:val="ru-RU"/>
        </w:rPr>
      </w:pPr>
      <w:bookmarkStart w:id="0" w:name="_GoBack"/>
      <w:bookmarkEnd w:id="0"/>
      <w:r>
        <w:rPr>
          <w:lang w:val="ru-RU"/>
        </w:rPr>
        <w:t xml:space="preserve">Материалом нашего исследования служат следующие российские учебники по истории Китая (в примерах обозначены первой буквой фамилии автора): </w:t>
      </w:r>
    </w:p>
    <w:p w14:paraId="28F93788">
      <w:pPr>
        <w:rPr>
          <w:rFonts w:hint="default"/>
          <w:lang w:val="ru-RU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) Л. С. Васильев «(Л. Древний Китай: в 3 т. Т. 3. Период Чжаньго (V–III вв. до н.э.)</w:t>
      </w:r>
    </w:p>
    <w:p w14:paraId="4E1B72F4">
      <w:pPr>
        <w:rPr>
          <w:rFonts w:hint="default"/>
          <w:lang w:val="ru-RU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 xml:space="preserve">) А.В. Меликсетов «История Китая: учебник, 2–е изд., испр. и доп.» </w:t>
      </w:r>
    </w:p>
    <w:p w14:paraId="29A67930">
      <w:pPr>
        <w:rPr>
          <w:rFonts w:hint="default" w:eastAsia="TimesNewRomanPSMT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 xml:space="preserve">) Л.В. Симоновская «История Китая с древнейших времен до наших дней» </w:t>
      </w:r>
    </w:p>
    <w:p w14:paraId="3EED3097">
      <w:pPr>
        <w:widowControl/>
        <w:spacing w:beforeAutospacing="0" w:after="0" w:afterAutospacing="0" w:line="27" w:lineRule="atLeast"/>
        <w:ind w:left="540" w:firstLine="0"/>
        <w:jc w:val="both"/>
        <w:rPr>
          <w:rFonts w:hint="default" w:eastAsia="TimesNewRomanPSMT"/>
          <w:sz w:val="28"/>
          <w:szCs w:val="28"/>
          <w:lang w:val="ru-RU" w:eastAsia="zh-CN"/>
        </w:rPr>
      </w:pPr>
    </w:p>
    <w:p w14:paraId="772C5A78">
      <w:pPr>
        <w:autoSpaceDE w:val="0"/>
        <w:autoSpaceDN w:val="0"/>
        <w:adjustRightInd w:val="0"/>
        <w:rPr>
          <w:rFonts w:eastAsia="TimesNewRomanPSMT"/>
          <w:sz w:val="28"/>
          <w:szCs w:val="28"/>
          <w:lang w:val="ru-RU"/>
        </w:rPr>
      </w:pPr>
      <w:r>
        <w:rPr>
          <w:rFonts w:eastAsia="TimesNewRomanPSMT"/>
          <w:sz w:val="28"/>
          <w:szCs w:val="28"/>
          <w:lang w:val="ru-RU"/>
        </w:rPr>
        <w:t>Задача исследования – рассмотреть, какими языковыми средствами и текстовыми приемами авторы учебников (ученые-историки) пользуются для представления категорий «новое – старое» и «впервые» («первый») с целью воплотить определенную идею исторического прогресса.</w:t>
      </w:r>
    </w:p>
    <w:p w14:paraId="7B97A70D">
      <w:pPr>
        <w:tabs>
          <w:tab w:val="left" w:pos="1710"/>
        </w:tabs>
        <w:rPr>
          <w:sz w:val="28"/>
          <w:szCs w:val="28"/>
          <w:lang w:val="ru-RU"/>
        </w:rPr>
      </w:pPr>
      <w:r>
        <w:rPr>
          <w:rFonts w:eastAsia="TimesNewRomanPSMT"/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 xml:space="preserve"> Характеристика чего-либо как </w:t>
      </w:r>
      <w:r>
        <w:rPr>
          <w:b/>
          <w:bCs/>
          <w:sz w:val="28"/>
          <w:szCs w:val="28"/>
          <w:lang w:val="ru-RU"/>
        </w:rPr>
        <w:t>нового</w:t>
      </w:r>
      <w:r>
        <w:rPr>
          <w:sz w:val="28"/>
          <w:szCs w:val="28"/>
          <w:lang w:val="ru-RU"/>
        </w:rPr>
        <w:t xml:space="preserve"> (не в значении «очередной», как в </w:t>
      </w:r>
      <w:r>
        <w:rPr>
          <w:i/>
          <w:iCs/>
          <w:sz w:val="28"/>
          <w:szCs w:val="28"/>
          <w:lang w:val="ru-RU"/>
        </w:rPr>
        <w:t>новый император, новая война</w:t>
      </w:r>
      <w:r>
        <w:rPr>
          <w:sz w:val="28"/>
          <w:szCs w:val="28"/>
          <w:lang w:val="ru-RU"/>
        </w:rPr>
        <w:t xml:space="preserve">, а в значении «впервые появившийся, доселе не виданный») или </w:t>
      </w:r>
      <w:r>
        <w:rPr>
          <w:b/>
          <w:bCs/>
          <w:sz w:val="28"/>
          <w:szCs w:val="28"/>
          <w:lang w:val="ru-RU"/>
        </w:rPr>
        <w:t>первого</w:t>
      </w:r>
      <w:r>
        <w:rPr>
          <w:sz w:val="28"/>
          <w:szCs w:val="28"/>
          <w:lang w:val="ru-RU"/>
        </w:rPr>
        <w:t xml:space="preserve"> имеет не только темпоральный смысл, часто она говорит о важности произошедшего события (изменения)</w:t>
      </w:r>
      <w:r>
        <w:rPr>
          <w:rFonts w:eastAsia="TimesNewRomanPSMT"/>
          <w:sz w:val="28"/>
          <w:szCs w:val="28"/>
          <w:lang w:val="ru-RU"/>
        </w:rPr>
        <w:t xml:space="preserve">: </w:t>
      </w:r>
      <w:r>
        <w:rPr>
          <w:i/>
          <w:iCs/>
          <w:sz w:val="28"/>
          <w:szCs w:val="28"/>
          <w:lang w:val="ru-RU"/>
        </w:rPr>
        <w:t xml:space="preserve">Хуань-гуна сменил Вэй-ван (378-343 гг. до н.э.), уже с </w:t>
      </w:r>
      <w:r>
        <w:rPr>
          <w:b/>
          <w:bCs/>
          <w:i/>
          <w:iCs/>
          <w:sz w:val="28"/>
          <w:szCs w:val="28"/>
          <w:lang w:val="ru-RU"/>
        </w:rPr>
        <w:t>новым</w:t>
      </w:r>
      <w:r>
        <w:rPr>
          <w:i/>
          <w:iCs/>
          <w:sz w:val="28"/>
          <w:szCs w:val="28"/>
          <w:lang w:val="ru-RU"/>
        </w:rPr>
        <w:t xml:space="preserve"> титулом</w:t>
      </w:r>
      <w:r>
        <w:rPr>
          <w:sz w:val="28"/>
          <w:szCs w:val="28"/>
          <w:lang w:val="ru-RU"/>
        </w:rPr>
        <w:t xml:space="preserve"> (В); </w:t>
      </w:r>
      <w:r>
        <w:rPr>
          <w:i/>
          <w:iCs/>
          <w:sz w:val="28"/>
          <w:szCs w:val="28"/>
          <w:lang w:val="ru-RU"/>
        </w:rPr>
        <w:t xml:space="preserve">При нем </w:t>
      </w:r>
      <w:r>
        <w:rPr>
          <w:b/>
          <w:bCs/>
          <w:i/>
          <w:iCs/>
          <w:sz w:val="28"/>
          <w:szCs w:val="28"/>
          <w:lang w:val="ru-RU"/>
        </w:rPr>
        <w:t>впервые</w:t>
      </w:r>
      <w:r>
        <w:rPr>
          <w:i/>
          <w:iCs/>
          <w:sz w:val="28"/>
          <w:szCs w:val="28"/>
          <w:lang w:val="ru-RU"/>
        </w:rPr>
        <w:t xml:space="preserve"> была составлена киданьская письменность</w:t>
      </w:r>
      <w:r>
        <w:rPr>
          <w:sz w:val="28"/>
          <w:szCs w:val="28"/>
          <w:lang w:val="ru-RU"/>
        </w:rPr>
        <w:t xml:space="preserve"> (С). </w:t>
      </w:r>
    </w:p>
    <w:p w14:paraId="03F08880">
      <w:pPr>
        <w:autoSpaceDE w:val="0"/>
        <w:autoSpaceDN w:val="0"/>
        <w:adjustRightInd w:val="0"/>
        <w:rPr>
          <w:rFonts w:eastAsia="TimesNewRomanPSMT"/>
          <w:sz w:val="28"/>
          <w:szCs w:val="28"/>
          <w:lang w:val="ru-RU"/>
        </w:rPr>
      </w:pPr>
      <w:r>
        <w:rPr>
          <w:rFonts w:eastAsia="TimesNewRomanPSMT"/>
          <w:sz w:val="28"/>
          <w:szCs w:val="28"/>
          <w:lang w:val="ru-RU"/>
        </w:rPr>
        <w:t xml:space="preserve">2. Взаимопроникновение старого и нового. Исторический нарратив всегда в конечном итоге рассказывает о победе нового над старым. Но между новым и старым нет границы, на которой мы можем сказать: все старое исчезло, началось новое. Старое и новое как бы проникают, прорастают друг в друга. Эта характеристика исторического процесса отмечается в учебниках, например, словами </w:t>
      </w:r>
      <w:r>
        <w:rPr>
          <w:rFonts w:eastAsia="TimesNewRomanPSMT"/>
          <w:i/>
          <w:iCs/>
          <w:sz w:val="28"/>
          <w:szCs w:val="28"/>
          <w:lang w:val="ru-RU"/>
        </w:rPr>
        <w:t>пережитки</w:t>
      </w:r>
      <w:r>
        <w:rPr>
          <w:rFonts w:eastAsia="TimesNewRomanPSMT"/>
          <w:sz w:val="28"/>
          <w:szCs w:val="28"/>
          <w:lang w:val="ru-RU"/>
        </w:rPr>
        <w:t xml:space="preserve"> и </w:t>
      </w:r>
      <w:r>
        <w:rPr>
          <w:rFonts w:eastAsia="TimesNewRomanPSMT"/>
          <w:i/>
          <w:iCs/>
          <w:sz w:val="28"/>
          <w:szCs w:val="28"/>
          <w:lang w:val="ru-RU"/>
        </w:rPr>
        <w:t>отголоски</w:t>
      </w:r>
      <w:r>
        <w:rPr>
          <w:rFonts w:eastAsia="TimesNewRomanPSMT"/>
          <w:sz w:val="28"/>
          <w:szCs w:val="28"/>
          <w:lang w:val="ru-RU"/>
        </w:rPr>
        <w:t>, первое из которых выражает отрицательную оценку, а второе нейтрально (</w:t>
      </w:r>
      <w:r>
        <w:rPr>
          <w:rFonts w:eastAsia="TimesNewRomanPSMT"/>
          <w:i/>
          <w:iCs/>
          <w:sz w:val="28"/>
          <w:szCs w:val="28"/>
          <w:lang w:val="ru-RU"/>
        </w:rPr>
        <w:t>ликвидация феодальных пережитков, отголоски событий далекого прошлого</w:t>
      </w:r>
      <w:r>
        <w:rPr>
          <w:rFonts w:eastAsia="TimesNewRomanPSMT"/>
          <w:sz w:val="28"/>
          <w:szCs w:val="28"/>
          <w:lang w:val="ru-RU"/>
        </w:rPr>
        <w:t xml:space="preserve">). С другой стороны, важно бывает подчеркнуть, что новое коренится в старом, причины последующих событий лежат в предшествующих – в этом случае номинации двух фактов могут соединяться при помощи слова </w:t>
      </w:r>
      <w:r>
        <w:rPr>
          <w:rFonts w:eastAsia="TimesNewRomanPSMT"/>
          <w:i/>
          <w:iCs/>
          <w:sz w:val="28"/>
          <w:szCs w:val="28"/>
          <w:lang w:val="ru-RU"/>
        </w:rPr>
        <w:t>исток</w:t>
      </w:r>
      <w:r>
        <w:rPr>
          <w:rFonts w:eastAsia="TimesNewRomanPSMT"/>
          <w:sz w:val="28"/>
          <w:szCs w:val="28"/>
          <w:lang w:val="ru-RU"/>
        </w:rPr>
        <w:t xml:space="preserve">: </w:t>
      </w:r>
      <w:r>
        <w:rPr>
          <w:rFonts w:eastAsia="TimesNewRomanPSMT"/>
          <w:i/>
          <w:iCs/>
          <w:sz w:val="28"/>
          <w:szCs w:val="28"/>
          <w:lang w:val="ru-RU"/>
        </w:rPr>
        <w:t xml:space="preserve">Именно южным путем, через Чу, видимо, и проникали в Китай те протодаосские настроения, </w:t>
      </w:r>
      <w:r>
        <w:rPr>
          <w:rFonts w:eastAsia="TimesNewRomanPSMT"/>
          <w:b/>
          <w:bCs/>
          <w:i/>
          <w:iCs/>
          <w:sz w:val="28"/>
          <w:szCs w:val="28"/>
          <w:lang w:val="ru-RU"/>
        </w:rPr>
        <w:t>истоки</w:t>
      </w:r>
      <w:r>
        <w:rPr>
          <w:rFonts w:eastAsia="TimesNewRomanPSMT"/>
          <w:i/>
          <w:iCs/>
          <w:sz w:val="28"/>
          <w:szCs w:val="28"/>
          <w:lang w:val="ru-RU"/>
        </w:rPr>
        <w:t xml:space="preserve"> которых можно встретить в древней индо-иранской мысли </w:t>
      </w:r>
      <w:r>
        <w:rPr>
          <w:rFonts w:eastAsia="TimesNewRomanPSMT"/>
          <w:sz w:val="28"/>
          <w:szCs w:val="28"/>
          <w:lang w:val="ru-RU"/>
        </w:rPr>
        <w:t>(М.).</w:t>
      </w:r>
    </w:p>
    <w:p w14:paraId="2F0B4CDC">
      <w:pPr>
        <w:tabs>
          <w:tab w:val="left" w:pos="7846"/>
        </w:tabs>
        <w:autoSpaceDE w:val="0"/>
        <w:autoSpaceDN w:val="0"/>
        <w:adjustRightInd w:val="0"/>
        <w:rPr>
          <w:rFonts w:eastAsia="TimesNewRomanPSMT"/>
          <w:sz w:val="28"/>
          <w:szCs w:val="28"/>
          <w:lang w:val="ru-RU"/>
        </w:rPr>
      </w:pPr>
      <w:r>
        <w:rPr>
          <w:rFonts w:eastAsia="TimesNewRomanPSMT"/>
          <w:sz w:val="28"/>
          <w:szCs w:val="28"/>
          <w:lang w:val="ru-RU"/>
        </w:rPr>
        <w:t xml:space="preserve">3. Интересно в связи с проблемой диалектики старого и нового употребление в нашем материале прилагательного </w:t>
      </w:r>
      <w:r>
        <w:rPr>
          <w:rFonts w:eastAsia="TimesNewRomanPSMT"/>
          <w:i/>
          <w:iCs/>
          <w:sz w:val="28"/>
          <w:szCs w:val="28"/>
          <w:lang w:val="ru-RU"/>
        </w:rPr>
        <w:t>прежний</w:t>
      </w:r>
      <w:r>
        <w:rPr>
          <w:rFonts w:eastAsia="TimesNewRomanPSMT"/>
          <w:sz w:val="28"/>
          <w:szCs w:val="28"/>
          <w:lang w:val="ru-RU"/>
        </w:rPr>
        <w:t xml:space="preserve"> и наречия </w:t>
      </w:r>
      <w:r>
        <w:rPr>
          <w:rFonts w:eastAsia="TimesNewRomanPSMT"/>
          <w:i/>
          <w:iCs/>
          <w:sz w:val="28"/>
          <w:szCs w:val="28"/>
          <w:lang w:val="ru-RU"/>
        </w:rPr>
        <w:t>по-прежнему</w:t>
      </w:r>
      <w:r>
        <w:rPr>
          <w:rFonts w:eastAsia="TimesNewRomanPSMT"/>
          <w:sz w:val="28"/>
          <w:szCs w:val="28"/>
          <w:lang w:val="ru-RU"/>
        </w:rPr>
        <w:t xml:space="preserve">, которые, находясь в пределах своих словарных значений «бывший прежде, минувший», «такой, как был раньше», при этом реализуют две принципиально разные функции, крайне важные и для линейного, и для циклического понимания истории Китая. С одной стороны, с помощью этих единиц авторы учебников отмечают сохранение признаков предшествующего, закончившегося исторического интервала на новом интервале: </w:t>
      </w:r>
      <w:r>
        <w:rPr>
          <w:i/>
          <w:iCs/>
          <w:sz w:val="28"/>
          <w:szCs w:val="28"/>
          <w:lang w:val="ru-RU"/>
        </w:rPr>
        <w:t xml:space="preserve">В 1721 г. тайваньцы подняли восстание, и их 30-тысячное войско овладело большим числом населенных пунктов, в которых реставрировало порядки </w:t>
      </w:r>
      <w:r>
        <w:rPr>
          <w:b/>
          <w:bCs/>
          <w:i/>
          <w:iCs/>
          <w:sz w:val="28"/>
          <w:szCs w:val="28"/>
          <w:lang w:val="ru-RU"/>
        </w:rPr>
        <w:t>прежнего</w:t>
      </w:r>
      <w:r>
        <w:rPr>
          <w:i/>
          <w:iCs/>
          <w:sz w:val="28"/>
          <w:szCs w:val="28"/>
          <w:lang w:val="ru-RU"/>
        </w:rPr>
        <w:t xml:space="preserve"> китайского государства</w:t>
      </w:r>
      <w:r>
        <w:rPr>
          <w:sz w:val="28"/>
          <w:szCs w:val="28"/>
          <w:lang w:val="ru-RU"/>
        </w:rPr>
        <w:t xml:space="preserve"> (С) – государства, порядки которого реставрировались, больше не существовало. С другой стороны, эти лексемы используются для констатации сохранения или исчезновения сущностных признаков какого-то объекта на протяжении его существования: В</w:t>
      </w:r>
      <w:r>
        <w:rPr>
          <w:i/>
          <w:iCs/>
          <w:sz w:val="28"/>
          <w:szCs w:val="28"/>
          <w:lang w:val="ru-RU"/>
        </w:rPr>
        <w:t xml:space="preserve"> это время, в середине V в. до н.э., Малое Вэй… начало понемногу терять свою </w:t>
      </w:r>
      <w:r>
        <w:rPr>
          <w:b/>
          <w:bCs/>
          <w:i/>
          <w:iCs/>
          <w:sz w:val="28"/>
          <w:szCs w:val="28"/>
          <w:lang w:val="ru-RU"/>
        </w:rPr>
        <w:t>прежнюю</w:t>
      </w:r>
      <w:r>
        <w:rPr>
          <w:i/>
          <w:iCs/>
          <w:sz w:val="28"/>
          <w:szCs w:val="28"/>
          <w:lang w:val="ru-RU"/>
        </w:rPr>
        <w:t xml:space="preserve"> независимость, попадая под влияние разделивших Цзинь крупных цзиньских кланов</w:t>
      </w:r>
      <w:r>
        <w:rPr>
          <w:sz w:val="28"/>
          <w:szCs w:val="28"/>
          <w:lang w:val="ru-RU"/>
        </w:rPr>
        <w:t xml:space="preserve"> (В). </w:t>
      </w:r>
    </w:p>
    <w:p w14:paraId="5F904D8A">
      <w:pPr>
        <w:autoSpaceDE w:val="0"/>
        <w:autoSpaceDN w:val="0"/>
        <w:adjustRightInd w:val="0"/>
        <w:rPr>
          <w:rFonts w:eastAsia="TimesNewRomanPSMT"/>
          <w:sz w:val="28"/>
          <w:szCs w:val="28"/>
          <w:lang w:val="ru-RU"/>
        </w:rPr>
      </w:pPr>
      <w:r>
        <w:rPr>
          <w:rFonts w:eastAsia="TimesNewRomanPSMT"/>
          <w:sz w:val="28"/>
          <w:szCs w:val="28"/>
          <w:lang w:val="ru-RU"/>
        </w:rPr>
        <w:t xml:space="preserve">4. Если календарное время однонаправленно, то историческое, наполненное событиями, может «поворачивать вспять». Наряду с фазисными глаголами, существительными и прилагательными, обозначающими начало, конец и продолжение (срединную фазу) процесса, в учебниках по истории востребованы лексемы, обозначающие возвращение к прежней стадии, которые тоже можно отнести к фазисным, как, например, </w:t>
      </w:r>
      <w:r>
        <w:rPr>
          <w:rFonts w:eastAsia="TimesNewRomanPSMT"/>
          <w:i/>
          <w:iCs/>
          <w:sz w:val="28"/>
          <w:szCs w:val="28"/>
          <w:lang w:val="ru-RU"/>
        </w:rPr>
        <w:t xml:space="preserve">возродить – возродиться. </w:t>
      </w:r>
    </w:p>
    <w:p w14:paraId="3DFB9B1F">
      <w:pPr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rFonts w:eastAsia="TimesNewRomanPSMT"/>
          <w:sz w:val="28"/>
          <w:szCs w:val="28"/>
          <w:lang w:val="ru-RU"/>
        </w:rPr>
        <w:t xml:space="preserve">5. Носителем определенной идеи прогресса является не только внетекстовый модусный субъект – автор учебника, но и его «герои» - внутритекстовые исторические субъекты, которые, по сообщению автора, фиксируют определенные моменты своего прошлого как важные, значимые, определяют историческое первенство в различных изобретениях и свершениях и т.п.:  </w:t>
      </w:r>
      <w:r>
        <w:rPr>
          <w:i/>
          <w:iCs/>
          <w:sz w:val="28"/>
          <w:szCs w:val="28"/>
          <w:lang w:val="ru-RU"/>
        </w:rPr>
        <w:t xml:space="preserve">Позднее древние китайцы изображали своих </w:t>
      </w:r>
      <w:r>
        <w:rPr>
          <w:sz w:val="28"/>
          <w:szCs w:val="28"/>
          <w:lang w:val="ru-RU"/>
        </w:rPr>
        <w:t>мифических</w:t>
      </w:r>
      <w:r>
        <w:rPr>
          <w:i/>
          <w:iCs/>
          <w:sz w:val="28"/>
          <w:szCs w:val="28"/>
          <w:lang w:val="ru-RU"/>
        </w:rPr>
        <w:t xml:space="preserve"> </w:t>
      </w:r>
      <w:r>
        <w:rPr>
          <w:b/>
          <w:bCs/>
          <w:i/>
          <w:iCs/>
          <w:sz w:val="28"/>
          <w:szCs w:val="28"/>
          <w:lang w:val="ru-RU"/>
        </w:rPr>
        <w:t>первопредков</w:t>
      </w:r>
      <w:r>
        <w:rPr>
          <w:i/>
          <w:iCs/>
          <w:sz w:val="28"/>
          <w:szCs w:val="28"/>
          <w:lang w:val="ru-RU"/>
        </w:rPr>
        <w:t xml:space="preserve"> в виде полулюдей-полуживотных: Фуси, якобы научившего людей охотиться и ловить рыбу, </w:t>
      </w:r>
      <w:r>
        <w:rPr>
          <w:rFonts w:eastAsia="MS Gothic"/>
          <w:i/>
          <w:iCs/>
          <w:sz w:val="28"/>
          <w:szCs w:val="28"/>
          <w:lang w:val="ru-RU"/>
        </w:rPr>
        <w:t xml:space="preserve">- </w:t>
      </w:r>
      <w:r>
        <w:rPr>
          <w:i/>
          <w:iCs/>
          <w:sz w:val="28"/>
          <w:szCs w:val="28"/>
          <w:lang w:val="ru-RU"/>
        </w:rPr>
        <w:t xml:space="preserve">с телом змеи; Шэньнуна, изготовившего </w:t>
      </w:r>
      <w:r>
        <w:rPr>
          <w:b/>
          <w:bCs/>
          <w:i/>
          <w:iCs/>
          <w:sz w:val="28"/>
          <w:szCs w:val="28"/>
          <w:lang w:val="ru-RU"/>
        </w:rPr>
        <w:t>первые</w:t>
      </w:r>
      <w:r>
        <w:rPr>
          <w:i/>
          <w:iCs/>
          <w:sz w:val="28"/>
          <w:szCs w:val="28"/>
          <w:lang w:val="ru-RU"/>
        </w:rPr>
        <w:t xml:space="preserve"> деревянные земледельческие орудия и </w:t>
      </w:r>
      <w:r>
        <w:rPr>
          <w:b/>
          <w:bCs/>
          <w:i/>
          <w:iCs/>
          <w:sz w:val="28"/>
          <w:szCs w:val="28"/>
          <w:lang w:val="ru-RU"/>
        </w:rPr>
        <w:t>впервые</w:t>
      </w:r>
      <w:r>
        <w:rPr>
          <w:i/>
          <w:iCs/>
          <w:sz w:val="28"/>
          <w:szCs w:val="28"/>
          <w:lang w:val="ru-RU"/>
        </w:rPr>
        <w:t xml:space="preserve"> начавшего употреблять в пищу хлебные злаки, </w:t>
      </w:r>
      <w:r>
        <w:rPr>
          <w:rFonts w:eastAsia="MS Gothic"/>
          <w:i/>
          <w:iCs/>
          <w:sz w:val="28"/>
          <w:szCs w:val="28"/>
          <w:lang w:val="ru-RU"/>
        </w:rPr>
        <w:t>-</w:t>
      </w:r>
      <w:r>
        <w:rPr>
          <w:i/>
          <w:iCs/>
          <w:sz w:val="28"/>
          <w:szCs w:val="28"/>
          <w:lang w:val="ru-RU"/>
        </w:rPr>
        <w:t xml:space="preserve"> с головой быка</w:t>
      </w:r>
      <w:r>
        <w:rPr>
          <w:sz w:val="28"/>
          <w:szCs w:val="28"/>
          <w:lang w:val="ru-RU"/>
        </w:rPr>
        <w:t xml:space="preserve"> (С).</w:t>
      </w:r>
    </w:p>
    <w:p w14:paraId="4A625A01">
      <w:pPr>
        <w:rPr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TimesNewRomanPSMT">
    <w:altName w:val="Arial Unicode MS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ulTrailSpac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ind w:firstLine="709"/>
      <w:jc w:val="both"/>
    </w:pPr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spacing w:before="360" w:after="80" w:line="259" w:lineRule="auto"/>
      <w:ind w:firstLine="0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kern w:val="0"/>
      <w:sz w:val="40"/>
      <w:szCs w:val="40"/>
      <w:lang w:val="ru-RU" w:eastAsia="en-US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widowControl/>
      <w:spacing w:before="160" w:after="80" w:line="259" w:lineRule="auto"/>
      <w:ind w:firstLine="0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ru-RU" w:eastAsia="en-US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widowControl/>
      <w:spacing w:before="160" w:after="80" w:line="259" w:lineRule="auto"/>
      <w:ind w:firstLine="0"/>
      <w:jc w:val="left"/>
      <w:outlineLvl w:val="2"/>
    </w:pPr>
    <w:rPr>
      <w:rFonts w:asciiTheme="minorHAnsi" w:hAnsiTheme="minorHAnsi" w:eastAsiaTheme="majorEastAsia" w:cstheme="majorBidi"/>
      <w:color w:val="2F5597" w:themeColor="accent1" w:themeShade="BF"/>
      <w:kern w:val="0"/>
      <w:sz w:val="28"/>
      <w:szCs w:val="28"/>
      <w:lang w:val="ru-RU" w:eastAsia="en-US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widowControl/>
      <w:spacing w:before="80" w:after="40" w:line="259" w:lineRule="auto"/>
      <w:ind w:firstLine="0"/>
      <w:jc w:val="left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0"/>
      <w:sz w:val="22"/>
      <w:szCs w:val="22"/>
      <w:lang w:val="ru-RU" w:eastAsia="en-US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widowControl/>
      <w:spacing w:before="80" w:after="40" w:line="259" w:lineRule="auto"/>
      <w:ind w:firstLine="0"/>
      <w:jc w:val="left"/>
      <w:outlineLvl w:val="4"/>
    </w:pPr>
    <w:rPr>
      <w:rFonts w:asciiTheme="minorHAnsi" w:hAnsiTheme="minorHAnsi" w:eastAsiaTheme="majorEastAsia" w:cstheme="majorBidi"/>
      <w:color w:val="2F5597" w:themeColor="accent1" w:themeShade="BF"/>
      <w:kern w:val="0"/>
      <w:sz w:val="22"/>
      <w:szCs w:val="22"/>
      <w:lang w:val="ru-RU" w:eastAsia="en-US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widowControl/>
      <w:spacing w:before="40" w:line="259" w:lineRule="auto"/>
      <w:ind w:firstLine="0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0"/>
      <w:sz w:val="22"/>
      <w:szCs w:val="22"/>
      <w:lang w:val="ru-RU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unhideWhenUsed/>
    <w:qFormat/>
    <w:uiPriority w:val="9"/>
    <w:pPr>
      <w:keepNext/>
      <w:keepLines/>
      <w:widowControl/>
      <w:spacing w:before="40" w:line="259" w:lineRule="auto"/>
      <w:ind w:firstLine="0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0"/>
      <w:sz w:val="22"/>
      <w:szCs w:val="22"/>
      <w:lang w:val="ru-RU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unhideWhenUsed/>
    <w:qFormat/>
    <w:uiPriority w:val="9"/>
    <w:pPr>
      <w:keepNext/>
      <w:keepLines/>
      <w:widowControl/>
      <w:spacing w:line="259" w:lineRule="auto"/>
      <w:ind w:firstLine="0"/>
      <w:jc w:val="left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0"/>
      <w:sz w:val="22"/>
      <w:szCs w:val="22"/>
      <w:lang w:val="ru-RU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unhideWhenUsed/>
    <w:qFormat/>
    <w:uiPriority w:val="9"/>
    <w:pPr>
      <w:keepNext/>
      <w:keepLines/>
      <w:widowControl/>
      <w:spacing w:line="259" w:lineRule="auto"/>
      <w:ind w:firstLine="0"/>
      <w:jc w:val="left"/>
      <w:outlineLvl w:val="8"/>
    </w:pPr>
    <w:rPr>
      <w:rFonts w:asciiTheme="minorHAnsi" w:hAnsiTheme="minorHAnsi" w:eastAsiaTheme="majorEastAsia" w:cstheme="majorBidi"/>
      <w:color w:val="262626" w:themeColor="text1" w:themeTint="D9"/>
      <w:kern w:val="0"/>
      <w:sz w:val="22"/>
      <w:szCs w:val="22"/>
      <w:lang w:val="ru-RU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3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widowControl/>
      <w:spacing w:after="160" w:line="259" w:lineRule="auto"/>
      <w:ind w:firstLine="709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0"/>
      <w:sz w:val="28"/>
      <w:szCs w:val="28"/>
      <w:lang w:val="ru-RU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widowControl/>
      <w:spacing w:after="80" w:line="240" w:lineRule="auto"/>
      <w:ind w:firstLine="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ru-RU" w:eastAsia="en-US"/>
    </w:rPr>
  </w:style>
  <w:style w:type="character" w:customStyle="1" w:styleId="15">
    <w:name w:val="Заголовок 1 Знак"/>
    <w:basedOn w:val="13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3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3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3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3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3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3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3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3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3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3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6">
    <w:name w:val="Quote"/>
    <w:basedOn w:val="1"/>
    <w:next w:val="1"/>
    <w:link w:val="27"/>
    <w:qFormat/>
    <w:uiPriority w:val="29"/>
    <w:pPr>
      <w:widowControl/>
      <w:spacing w:before="160" w:after="160" w:line="259" w:lineRule="auto"/>
      <w:ind w:firstLine="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0"/>
      <w:sz w:val="22"/>
      <w:szCs w:val="22"/>
      <w:lang w:val="ru-RU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3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8">
    <w:name w:val="List Paragraph"/>
    <w:basedOn w:val="1"/>
    <w:qFormat/>
    <w:uiPriority w:val="34"/>
    <w:pPr>
      <w:widowControl/>
      <w:spacing w:after="160" w:line="259" w:lineRule="auto"/>
      <w:ind w:left="720" w:firstLine="0"/>
      <w:contextualSpacing/>
      <w:jc w:val="left"/>
    </w:pPr>
    <w:rPr>
      <w:rFonts w:asciiTheme="minorHAnsi" w:hAnsiTheme="minorHAnsi" w:eastAsiaTheme="minorHAnsi" w:cstheme="minorBidi"/>
      <w:kern w:val="0"/>
      <w:sz w:val="22"/>
      <w:szCs w:val="22"/>
      <w:lang w:val="ru-RU" w:eastAsia="en-US"/>
    </w:rPr>
  </w:style>
  <w:style w:type="character" w:customStyle="1" w:styleId="29">
    <w:name w:val="Intense Emphasis"/>
    <w:basedOn w:val="13"/>
    <w:qFormat/>
    <w:uiPriority w:val="21"/>
    <w:rPr>
      <w:i/>
      <w:iCs/>
      <w:color w:val="2F5597" w:themeColor="accent1" w:themeShade="BF"/>
    </w:rPr>
  </w:style>
  <w:style w:type="paragraph" w:customStyle="1" w:styleId="30">
    <w:name w:val="Intense Quote"/>
    <w:basedOn w:val="1"/>
    <w:next w:val="1"/>
    <w:link w:val="31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 w:firstLine="0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0"/>
      <w:sz w:val="22"/>
      <w:szCs w:val="22"/>
      <w:lang w:val="ru-RU" w:eastAsia="en-US"/>
    </w:rPr>
  </w:style>
  <w:style w:type="character" w:customStyle="1" w:styleId="31">
    <w:name w:val="Выделенная цитата Знак"/>
    <w:basedOn w:val="13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3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608</Words>
  <Characters>3470</Characters>
  <Lines>28</Lines>
  <Paragraphs>8</Paragraphs>
  <ScaleCrop>false</ScaleCrop>
  <LinksUpToDate>false</LinksUpToDate>
  <CharactersWithSpaces>4070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2025-02-17T02:16:00Z</dcterms:created>
  <dc:creator>Marina Sidorova</dc:creator>
  <cp:lastModifiedBy>iPhone</cp:lastModifiedBy>
  <dcterms:modified xsi:type="dcterms:W3CDTF">2025-03-06T10:20:56Z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A1F040BDB8225824123CC96707D661FF_31</vt:lpwstr>
  </property>
  <property fmtid="{D5CDD505-2E9C-101B-9397-08002B2CF9AE}" pid="3" name="KSOProductBuildVer">
    <vt:lpwstr>2052-12.21.0</vt:lpwstr>
  </property>
</Properties>
</file>