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B3C" w:rsidRDefault="00A94E2B">
      <w:pPr>
        <w:ind w:firstLine="709"/>
        <w:jc w:val="center"/>
        <w:rPr>
          <w:b/>
          <w:bCs/>
        </w:rPr>
      </w:pPr>
      <w:r>
        <w:rPr>
          <w:b/>
          <w:bCs/>
        </w:rPr>
        <w:t>Расширенное пространственное употребление предлога «в» в архангельских говорах и его возможные когнитивные основания</w:t>
      </w:r>
    </w:p>
    <w:p w:rsidR="00100B3C" w:rsidRDefault="00A94E2B">
      <w:pPr>
        <w:ind w:firstLine="709"/>
        <w:jc w:val="center"/>
      </w:pPr>
      <w:r>
        <w:t>Жукова Мария Антоновна</w:t>
      </w:r>
    </w:p>
    <w:p w:rsidR="00100B3C" w:rsidRDefault="00A94E2B">
      <w:pPr>
        <w:ind w:firstLine="709"/>
        <w:jc w:val="center"/>
      </w:pPr>
      <w:r>
        <w:t>Студентка МГУ имени М.В. Ломоносова, Москва, Россия</w:t>
      </w:r>
    </w:p>
    <w:p w:rsidR="00100B3C" w:rsidRDefault="00100B3C">
      <w:pPr>
        <w:ind w:firstLine="709"/>
        <w:jc w:val="both"/>
      </w:pPr>
    </w:p>
    <w:p w:rsidR="00100B3C" w:rsidRDefault="00A94E2B">
      <w:pPr>
        <w:ind w:firstLine="709"/>
        <w:jc w:val="both"/>
      </w:pPr>
      <w:r>
        <w:t>Доклад</w:t>
      </w:r>
      <w:r>
        <w:t xml:space="preserve"> посвящ</w:t>
      </w:r>
      <w:r w:rsidR="00E23B74">
        <w:t>ё</w:t>
      </w:r>
      <w:r>
        <w:t>н особенностям выражения пространственных отношений в архангельских говорах, где наблюдается феномен расширенного употребления предлога «в</w:t>
      </w:r>
      <w:r>
        <w:rPr>
          <w:b/>
          <w:bCs/>
        </w:rPr>
        <w:t>»</w:t>
      </w:r>
      <w:r>
        <w:t xml:space="preserve"> в именных конструкциях с </w:t>
      </w:r>
      <w:proofErr w:type="spellStart"/>
      <w:r>
        <w:t>локативным</w:t>
      </w:r>
      <w:proofErr w:type="spellEnd"/>
      <w:r>
        <w:t xml:space="preserve"> и директивным значением. Цель исследования – когнитивное обоснование под</w:t>
      </w:r>
      <w:r>
        <w:t xml:space="preserve">обных системных расхождений диалектного материала и литературной нормы. В ходе исследования были использованы данные из «Архангельского областного словаря» и Национального корпуса русского языка. </w:t>
      </w:r>
    </w:p>
    <w:p w:rsidR="00100B3C" w:rsidRDefault="00A94E2B">
      <w:pPr>
        <w:ind w:firstLine="709"/>
        <w:jc w:val="both"/>
      </w:pPr>
      <w:r>
        <w:t xml:space="preserve">При описании грамматических форм мы опираемся на </w:t>
      </w:r>
      <w:proofErr w:type="spellStart"/>
      <w:r>
        <w:t>синтаксемн</w:t>
      </w:r>
      <w:r>
        <w:t>ый</w:t>
      </w:r>
      <w:proofErr w:type="spellEnd"/>
      <w:r>
        <w:t xml:space="preserve"> анализ, предложенный Г.А. Золотовой. Синтаксема – элементарная семантико-синтаксическая единица языка, «единица мысли». Она объединяет смысл, форму и способность синтаксически реализовываться. Такой подход позволяет выявить характерные соответствия грам</w:t>
      </w:r>
      <w:r>
        <w:t xml:space="preserve">матических форм «предлог + словоформа» и семантических ролей, в которых они реализуются. </w:t>
      </w:r>
    </w:p>
    <w:p w:rsidR="00100B3C" w:rsidRDefault="00A94E2B">
      <w:pPr>
        <w:ind w:firstLine="709"/>
        <w:jc w:val="both"/>
      </w:pPr>
      <w:r>
        <w:t>Причины различий синтаксем интерпретируются в русле когнитивной лингвистики. Языковая форма выражения пространственных отношений отражает специфику концептуализации п</w:t>
      </w:r>
      <w:r>
        <w:t xml:space="preserve">ространства. Грамматика всегда выборочна, и важно понять, что именно (не) выражается в языке и как это характеризует восприятие носителя. Точкой отсчёта стала семантическая карта, предложенная М.В. </w:t>
      </w:r>
      <w:proofErr w:type="spellStart"/>
      <w:r>
        <w:t>Всеволодовой</w:t>
      </w:r>
      <w:proofErr w:type="spellEnd"/>
      <w:r>
        <w:t xml:space="preserve"> [</w:t>
      </w:r>
      <w:proofErr w:type="spellStart"/>
      <w:r>
        <w:t>Всеволодова</w:t>
      </w:r>
      <w:proofErr w:type="spellEnd"/>
      <w:r>
        <w:t>: 12], которая показывает основны</w:t>
      </w:r>
      <w:r>
        <w:t xml:space="preserve">е типы смысловых категории пространства в современном русском языке через оппозиции: статика – динамика, </w:t>
      </w:r>
      <w:proofErr w:type="spellStart"/>
      <w:r>
        <w:t>сопространственность</w:t>
      </w:r>
      <w:proofErr w:type="spellEnd"/>
      <w:r>
        <w:t xml:space="preserve"> – </w:t>
      </w:r>
      <w:proofErr w:type="spellStart"/>
      <w:r>
        <w:t>несопространственность</w:t>
      </w:r>
      <w:proofErr w:type="spellEnd"/>
      <w:r>
        <w:t>, трасса – пункт движения и другие.</w:t>
      </w:r>
    </w:p>
    <w:p w:rsidR="00100B3C" w:rsidRDefault="00A94E2B">
      <w:pPr>
        <w:ind w:firstLine="709"/>
        <w:jc w:val="both"/>
      </w:pPr>
      <w:r>
        <w:t>В литературном русском языке в позиции локатива последовательно против</w:t>
      </w:r>
      <w:r>
        <w:t xml:space="preserve">опоставляются синтаксемы «на + </w:t>
      </w:r>
      <w:proofErr w:type="spellStart"/>
      <w:r>
        <w:t>П.п</w:t>
      </w:r>
      <w:proofErr w:type="spellEnd"/>
      <w:r>
        <w:t xml:space="preserve">.» (для поверхности и открытых пространств) и «в + </w:t>
      </w:r>
      <w:proofErr w:type="spellStart"/>
      <w:r>
        <w:t>П.п</w:t>
      </w:r>
      <w:proofErr w:type="spellEnd"/>
      <w:r>
        <w:t xml:space="preserve">.» (для выражения </w:t>
      </w:r>
      <w:proofErr w:type="spellStart"/>
      <w:r>
        <w:t>вмещ</w:t>
      </w:r>
      <w:r w:rsidR="00E23B74">
        <w:t>ё</w:t>
      </w:r>
      <w:r>
        <w:t>нности</w:t>
      </w:r>
      <w:proofErr w:type="spellEnd"/>
      <w:r>
        <w:t xml:space="preserve"> внутрь). Аналогичная оппозиция в директиве, но с винительным падежом. </w:t>
      </w:r>
      <w:r w:rsidR="00E23B74">
        <w:t>Материал Словаря</w:t>
      </w:r>
      <w:r>
        <w:t xml:space="preserve"> показыва</w:t>
      </w:r>
      <w:r w:rsidR="00E23B74">
        <w:t>е</w:t>
      </w:r>
      <w:r>
        <w:t>т, что</w:t>
      </w:r>
      <w:r w:rsidR="00E23B74">
        <w:t xml:space="preserve"> в архангельских</w:t>
      </w:r>
      <w:r>
        <w:t xml:space="preserve"> говорах дело обстоит ина</w:t>
      </w:r>
      <w:r>
        <w:t>че – в локативе и директиве отмечается ослабление противопоставления предлогов и «экспансия» предлога «в». В настоящее время в нашей базе данных зафиксировано 135 таких примеров. Приведем некоторые из них.</w:t>
      </w:r>
    </w:p>
    <w:p w:rsidR="00100B3C" w:rsidRDefault="00100B3C">
      <w:pPr>
        <w:ind w:firstLine="709"/>
        <w:jc w:val="both"/>
      </w:pPr>
    </w:p>
    <w:p w:rsidR="00100B3C" w:rsidRDefault="00A94E2B" w:rsidP="00E23B74">
      <w:pPr>
        <w:ind w:firstLine="709"/>
        <w:jc w:val="both"/>
      </w:pPr>
      <w:r>
        <w:t xml:space="preserve">Локатив: </w:t>
      </w:r>
    </w:p>
    <w:p w:rsidR="00100B3C" w:rsidRDefault="00A94E2B" w:rsidP="00E23B74">
      <w:pPr>
        <w:ind w:firstLine="709"/>
        <w:jc w:val="both"/>
      </w:pPr>
      <w:r>
        <w:t>«косить в лугу»</w:t>
      </w:r>
    </w:p>
    <w:p w:rsidR="00100B3C" w:rsidRDefault="00A94E2B" w:rsidP="00E23B74">
      <w:pPr>
        <w:ind w:firstLine="709"/>
        <w:jc w:val="both"/>
      </w:pPr>
      <w:r>
        <w:t xml:space="preserve">«служить в Урале» </w:t>
      </w:r>
    </w:p>
    <w:p w:rsidR="00100B3C" w:rsidRDefault="00A94E2B" w:rsidP="00E23B74">
      <w:pPr>
        <w:ind w:firstLine="709"/>
        <w:jc w:val="both"/>
      </w:pPr>
      <w:r>
        <w:t>«жит</w:t>
      </w:r>
      <w:r>
        <w:t xml:space="preserve">ь в реку» </w:t>
      </w:r>
    </w:p>
    <w:p w:rsidR="00100B3C" w:rsidRDefault="00A94E2B" w:rsidP="00E23B74">
      <w:pPr>
        <w:ind w:firstLine="709"/>
        <w:jc w:val="both"/>
      </w:pPr>
      <w:r>
        <w:t>«сидеть в парте»</w:t>
      </w:r>
    </w:p>
    <w:p w:rsidR="00100B3C" w:rsidRDefault="00A94E2B" w:rsidP="00E23B74">
      <w:pPr>
        <w:ind w:firstLine="709"/>
        <w:jc w:val="both"/>
      </w:pPr>
      <w:r>
        <w:t>«находиться в грядках»</w:t>
      </w:r>
    </w:p>
    <w:p w:rsidR="00100B3C" w:rsidRDefault="00100B3C" w:rsidP="00E23B74">
      <w:pPr>
        <w:ind w:firstLine="709"/>
        <w:jc w:val="both"/>
      </w:pPr>
    </w:p>
    <w:p w:rsidR="00100B3C" w:rsidRDefault="00A94E2B" w:rsidP="00E23B74">
      <w:pPr>
        <w:ind w:firstLine="709"/>
        <w:jc w:val="both"/>
      </w:pPr>
      <w:r>
        <w:t>Директив:</w:t>
      </w:r>
      <w:bookmarkStart w:id="0" w:name="_GoBack"/>
      <w:bookmarkEnd w:id="0"/>
    </w:p>
    <w:p w:rsidR="00100B3C" w:rsidRDefault="00A94E2B" w:rsidP="00E23B74">
      <w:pPr>
        <w:ind w:firstLine="709"/>
        <w:jc w:val="both"/>
      </w:pPr>
      <w:r>
        <w:t>«идти в полянку»</w:t>
      </w:r>
    </w:p>
    <w:p w:rsidR="00100B3C" w:rsidRDefault="00A94E2B" w:rsidP="00E23B74">
      <w:pPr>
        <w:ind w:firstLine="709"/>
        <w:jc w:val="both"/>
      </w:pPr>
      <w:r>
        <w:t>«класть в чердак»</w:t>
      </w:r>
    </w:p>
    <w:p w:rsidR="00100B3C" w:rsidRDefault="00A94E2B" w:rsidP="00E23B74">
      <w:pPr>
        <w:ind w:firstLine="709"/>
        <w:jc w:val="both"/>
      </w:pPr>
      <w:r>
        <w:t>«идти в картошку»</w:t>
      </w:r>
    </w:p>
    <w:p w:rsidR="00100B3C" w:rsidRDefault="00A94E2B" w:rsidP="00E23B74">
      <w:pPr>
        <w:ind w:firstLine="709"/>
        <w:jc w:val="both"/>
      </w:pPr>
      <w:r>
        <w:t>«убежать в берег»</w:t>
      </w:r>
    </w:p>
    <w:p w:rsidR="00100B3C" w:rsidRDefault="00A94E2B" w:rsidP="00E23B74">
      <w:pPr>
        <w:ind w:firstLine="709"/>
        <w:jc w:val="both"/>
      </w:pPr>
      <w:r>
        <w:t>«</w:t>
      </w:r>
      <w:r w:rsidR="00E23B74">
        <w:t xml:space="preserve">ходить </w:t>
      </w:r>
      <w:r>
        <w:t>в фабрику»</w:t>
      </w:r>
    </w:p>
    <w:p w:rsidR="00100B3C" w:rsidRDefault="00100B3C">
      <w:pPr>
        <w:ind w:firstLine="709"/>
        <w:jc w:val="both"/>
      </w:pPr>
    </w:p>
    <w:p w:rsidR="00100B3C" w:rsidRDefault="00A94E2B">
      <w:pPr>
        <w:ind w:firstLine="709"/>
        <w:jc w:val="both"/>
      </w:pPr>
      <w:r>
        <w:t>В литературном языке есть ряд синтаксем с предлогом «на», используемых не для открытых пространств, а наоборот</w:t>
      </w:r>
      <w:r>
        <w:t xml:space="preserve"> –для закрытых помещений («на заводе», «на фабрике», «на уроке»). Это связано с прибавлением значений «события», </w:t>
      </w:r>
      <w:r>
        <w:lastRenderedPageBreak/>
        <w:t xml:space="preserve">«деятельности».  В архангельских говорах в таких случаях также встречается выбор «в»-синтаксемы – «в заводе», «в фабрике». </w:t>
      </w:r>
    </w:p>
    <w:p w:rsidR="00100B3C" w:rsidRDefault="00A94E2B">
      <w:pPr>
        <w:ind w:firstLine="709"/>
        <w:jc w:val="both"/>
      </w:pPr>
      <w:r>
        <w:t>Отметим некоторые д</w:t>
      </w:r>
      <w:r>
        <w:t>ругие интересные примеры. В говорах встречается употребления винительного падежа в локативе – «жить в реку». Предлог «в» встречается не только на месте литературного «на». Например, нормативной синтаксеме «за партой» соответствует диалектная «в парте». А в</w:t>
      </w:r>
      <w:r>
        <w:t xml:space="preserve"> случае «идти в картошку», «ходить в горох» архангельские говоры выражают цель как пространство-событие, внутрь которого можно попасть.</w:t>
      </w:r>
    </w:p>
    <w:p w:rsidR="00100B3C" w:rsidRDefault="00A94E2B">
      <w:pPr>
        <w:ind w:firstLine="709"/>
        <w:jc w:val="both"/>
      </w:pPr>
      <w:r>
        <w:t>Чем обусловлены такие особенности</w:t>
      </w:r>
      <w:r>
        <w:rPr>
          <w:lang w:val="zh-TW" w:eastAsia="zh-TW"/>
        </w:rPr>
        <w:t>?</w:t>
      </w:r>
      <w:r>
        <w:t xml:space="preserve"> Вероятно, </w:t>
      </w:r>
      <w:r>
        <w:t xml:space="preserve">их можно объяснить двумя </w:t>
      </w:r>
      <w:r>
        <w:t>пр</w:t>
      </w:r>
      <w:r w:rsidR="00E23B74">
        <w:t>и</w:t>
      </w:r>
      <w:r>
        <w:t>чинами</w:t>
      </w:r>
      <w:r>
        <w:t xml:space="preserve">. </w:t>
      </w:r>
      <w:r>
        <w:t>Во</w:t>
      </w:r>
      <w:r>
        <w:t>-</w:t>
      </w:r>
      <w:r>
        <w:t>первых</w:t>
      </w:r>
      <w:r>
        <w:t xml:space="preserve">, </w:t>
      </w:r>
      <w:r>
        <w:t>этот процесс может быть свя</w:t>
      </w:r>
      <w:r>
        <w:t xml:space="preserve">зан с нейтрализацией семантической и грамматической оппозиции и закреплением предлога «в» в качестве универсального маркера </w:t>
      </w:r>
      <w:proofErr w:type="spellStart"/>
      <w:r>
        <w:t>локативных</w:t>
      </w:r>
      <w:proofErr w:type="spellEnd"/>
      <w:r>
        <w:t xml:space="preserve"> и директивных конструкций</w:t>
      </w:r>
      <w:r>
        <w:t xml:space="preserve">. </w:t>
      </w:r>
      <w:r>
        <w:t xml:space="preserve">Подобное </w:t>
      </w:r>
      <w:proofErr w:type="spellStart"/>
      <w:r>
        <w:t>неразграничение</w:t>
      </w:r>
      <w:proofErr w:type="spellEnd"/>
      <w:r>
        <w:t xml:space="preserve"> наблюдается в ряде других языков </w:t>
      </w:r>
      <w:r>
        <w:t xml:space="preserve">(например, в греческом, </w:t>
      </w:r>
      <w:r>
        <w:t>французском</w:t>
      </w:r>
      <w:r>
        <w:t>)</w:t>
      </w:r>
      <w:r>
        <w:t xml:space="preserve">, </w:t>
      </w:r>
      <w:r>
        <w:t>где грамматическое противопоставление поверхности и вместилища отсутствует</w:t>
      </w:r>
      <w:r>
        <w:t xml:space="preserve">. </w:t>
      </w:r>
      <w:r>
        <w:t>Во</w:t>
      </w:r>
      <w:r>
        <w:t>-</w:t>
      </w:r>
      <w:r>
        <w:t>вторых</w:t>
      </w:r>
      <w:r>
        <w:t xml:space="preserve">, </w:t>
      </w:r>
      <w:r>
        <w:t>может быть дано когнитивное обоснование</w:t>
      </w:r>
      <w:r>
        <w:t xml:space="preserve">. </w:t>
      </w:r>
      <w:r>
        <w:t>Предполагается</w:t>
      </w:r>
      <w:r>
        <w:t xml:space="preserve">, </w:t>
      </w:r>
      <w:r>
        <w:t xml:space="preserve">что говоры Севера склонны к </w:t>
      </w:r>
      <w:r>
        <w:rPr>
          <w:i/>
          <w:iCs/>
        </w:rPr>
        <w:t>«в</w:t>
      </w:r>
      <w:r>
        <w:rPr>
          <w:i/>
          <w:iCs/>
        </w:rPr>
        <w:t>-</w:t>
      </w:r>
      <w:r>
        <w:rPr>
          <w:i/>
          <w:iCs/>
        </w:rPr>
        <w:t>модусу»</w:t>
      </w:r>
      <w:r>
        <w:t xml:space="preserve">, </w:t>
      </w:r>
      <w:r>
        <w:t xml:space="preserve">когда пространство осмысляется прежде всего через </w:t>
      </w:r>
      <w:r>
        <w:rPr>
          <w:i/>
          <w:iCs/>
        </w:rPr>
        <w:t>сферы</w:t>
      </w:r>
      <w:r>
        <w:t xml:space="preserve">, </w:t>
      </w:r>
      <w:r>
        <w:t>внутри которы</w:t>
      </w:r>
      <w:r>
        <w:t>х разворачиваются действия</w:t>
      </w:r>
      <w:r>
        <w:t xml:space="preserve">. </w:t>
      </w:r>
      <w:r>
        <w:t xml:space="preserve">Для русского языкового сознания характерно выделение идеи </w:t>
      </w:r>
      <w:r>
        <w:rPr>
          <w:i/>
          <w:iCs/>
        </w:rPr>
        <w:t>нахождения внутри чего</w:t>
      </w:r>
      <w:r>
        <w:rPr>
          <w:i/>
          <w:iCs/>
        </w:rPr>
        <w:t>-либо</w:t>
      </w:r>
      <w:r>
        <w:t xml:space="preserve"> как фундаментальной</w:t>
      </w:r>
      <w:r>
        <w:t xml:space="preserve">.  </w:t>
      </w:r>
      <w:r>
        <w:t>В говорах это свойство</w:t>
      </w:r>
      <w:r>
        <w:t>, вероятно, проявл</w:t>
      </w:r>
      <w:r>
        <w:t>яется ещё ярче</w:t>
      </w:r>
      <w:r>
        <w:t xml:space="preserve">. </w:t>
      </w:r>
      <w:r>
        <w:t>Можно предположить</w:t>
      </w:r>
      <w:r>
        <w:t xml:space="preserve">, </w:t>
      </w:r>
      <w:r>
        <w:t>что оно характеризует реальность как мир</w:t>
      </w:r>
      <w:r>
        <w:t xml:space="preserve">, </w:t>
      </w:r>
      <w:r>
        <w:t xml:space="preserve">наполненный закрытыми </w:t>
      </w:r>
      <w:r>
        <w:rPr>
          <w:i/>
          <w:iCs/>
        </w:rPr>
        <w:t>пространствами-вместилищами</w:t>
      </w:r>
      <w:r>
        <w:t xml:space="preserve">. Человек, таким образом, </w:t>
      </w:r>
      <w:r>
        <w:t>помещается именно «в» луг</w:t>
      </w:r>
      <w:r>
        <w:t xml:space="preserve">, </w:t>
      </w:r>
      <w:r>
        <w:t>«в» берег и «в» родник</w:t>
      </w:r>
      <w:r>
        <w:t xml:space="preserve">, </w:t>
      </w:r>
      <w:r>
        <w:t>а не «на» них</w:t>
      </w:r>
      <w:r>
        <w:t>.</w:t>
      </w:r>
    </w:p>
    <w:p w:rsidR="00100B3C" w:rsidRDefault="00A94E2B">
      <w:pPr>
        <w:ind w:firstLine="709"/>
        <w:jc w:val="both"/>
      </w:pPr>
      <w:r>
        <w:t>В дальнейшем планируются экспедиционные диалектологические исследования. Для уточнения когнитивных обоснований необ</w:t>
      </w:r>
      <w:r>
        <w:t>ходимо проведение ряда экспериментов в полевых условиях. Планируется анализ истории развития пространственных предлогов в литературном русском и в диалектах, а также поиск параллелей в других языках. Интерес представляет составление общей семантической кар</w:t>
      </w:r>
      <w:r>
        <w:t>ты пространственных значений для северных говоров, а возможно и для других языков.</w:t>
      </w:r>
    </w:p>
    <w:p w:rsidR="00100B3C" w:rsidRDefault="00A94E2B">
      <w:pPr>
        <w:ind w:firstLine="709"/>
        <w:jc w:val="both"/>
      </w:pPr>
      <w:r>
        <w:t xml:space="preserve">Исследование подчёркивает значимость диалектных данных для понимания того, какими разнообразными путями языки кодируют базовые пространственные отношения. Полученные </w:t>
      </w:r>
      <w:r>
        <w:t>результаты не только описывают частный диалектный феномен, но и вносят вклад в общую проблему отношения языка и мышления. Исследование архангельских говоров может стать маленьким, но значимым фрагментом мозаики на пути к пониманию множественности семантиче</w:t>
      </w:r>
      <w:r>
        <w:t>ский карт самых разных языков.</w:t>
      </w:r>
    </w:p>
    <w:p w:rsidR="00100B3C" w:rsidRDefault="00A94E2B">
      <w:pPr>
        <w:pStyle w:val="a5"/>
        <w:ind w:firstLine="709"/>
        <w:jc w:val="both"/>
      </w:pPr>
      <w:r>
        <w:rPr>
          <w:b/>
          <w:bCs/>
        </w:rPr>
        <w:t>Ключевые слова</w:t>
      </w:r>
      <w:r>
        <w:t>: локатив, директив, архангельские говоры, предлог «в», когнитивная лингвистика, синтаксема, семантическая карта.</w:t>
      </w:r>
    </w:p>
    <w:p w:rsidR="00100B3C" w:rsidRDefault="00A94E2B">
      <w:pPr>
        <w:pStyle w:val="a5"/>
        <w:ind w:firstLine="709"/>
        <w:jc w:val="both"/>
        <w:rPr>
          <w:b/>
          <w:bCs/>
        </w:rPr>
      </w:pPr>
      <w:r>
        <w:rPr>
          <w:b/>
          <w:bCs/>
        </w:rPr>
        <w:t>Литература</w:t>
      </w:r>
    </w:p>
    <w:p w:rsidR="00100B3C" w:rsidRDefault="00A94E2B">
      <w:pPr>
        <w:jc w:val="both"/>
      </w:pPr>
      <w:r>
        <w:rPr>
          <w:i/>
          <w:iCs/>
        </w:rPr>
        <w:t>Золотова Г.А.</w:t>
      </w:r>
      <w:r>
        <w:t xml:space="preserve"> Синтаксический словарь. Репертуар элементарных единиц русского синтаксис</w:t>
      </w:r>
      <w:r>
        <w:t>а. М., 1988</w:t>
      </w:r>
    </w:p>
    <w:p w:rsidR="00100B3C" w:rsidRDefault="00A94E2B">
      <w:pPr>
        <w:jc w:val="both"/>
      </w:pPr>
      <w:proofErr w:type="spellStart"/>
      <w:r>
        <w:rPr>
          <w:i/>
          <w:iCs/>
        </w:rPr>
        <w:t>Всеволодова</w:t>
      </w:r>
      <w:proofErr w:type="spellEnd"/>
      <w:r>
        <w:rPr>
          <w:i/>
          <w:iCs/>
        </w:rPr>
        <w:t xml:space="preserve"> М.В.</w:t>
      </w:r>
      <w:r>
        <w:t xml:space="preserve">, </w:t>
      </w:r>
      <w:r>
        <w:rPr>
          <w:i/>
          <w:iCs/>
        </w:rPr>
        <w:t>Владимирский</w:t>
      </w:r>
      <w:r>
        <w:t xml:space="preserve"> </w:t>
      </w:r>
      <w:r>
        <w:rPr>
          <w:i/>
          <w:iCs/>
        </w:rPr>
        <w:t>Е.Ю.</w:t>
      </w:r>
      <w:r>
        <w:t xml:space="preserve"> Способы выражения пространственных отношений в современном русском языке. М., 2008</w:t>
      </w:r>
    </w:p>
    <w:p w:rsidR="00100B3C" w:rsidRDefault="00A94E2B">
      <w:pPr>
        <w:jc w:val="both"/>
      </w:pPr>
      <w:r>
        <w:t xml:space="preserve">Архангельский областной словарь. </w:t>
      </w:r>
      <w:r w:rsidR="00E23B74">
        <w:t>С 1 по 15 т. п</w:t>
      </w:r>
      <w:r>
        <w:t>од ред. О.Г. Гецовой</w:t>
      </w:r>
      <w:r>
        <w:t xml:space="preserve">, </w:t>
      </w:r>
      <w:r w:rsidR="00E23B74">
        <w:t xml:space="preserve">с 16 т. по ред. </w:t>
      </w:r>
      <w:r>
        <w:t>Е.А.</w:t>
      </w:r>
      <w:r w:rsidR="00E23B74">
        <w:t> </w:t>
      </w:r>
      <w:r>
        <w:t>Нефедовой. М., 1980-2023 (издание продолжающееся).</w:t>
      </w:r>
    </w:p>
    <w:sectPr w:rsidR="00100B3C">
      <w:headerReference w:type="default" r:id="rId6"/>
      <w:footerReference w:type="default" r:id="rId7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E2B" w:rsidRDefault="00A94E2B">
      <w:r>
        <w:separator/>
      </w:r>
    </w:p>
  </w:endnote>
  <w:endnote w:type="continuationSeparator" w:id="0">
    <w:p w:rsidR="00A94E2B" w:rsidRDefault="00A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3C" w:rsidRDefault="00100B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E2B" w:rsidRDefault="00A94E2B">
      <w:r>
        <w:separator/>
      </w:r>
    </w:p>
  </w:footnote>
  <w:footnote w:type="continuationSeparator" w:id="0">
    <w:p w:rsidR="00A94E2B" w:rsidRDefault="00A9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3C" w:rsidRDefault="00100B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3C"/>
    <w:rsid w:val="00100B3C"/>
    <w:rsid w:val="00A94E2B"/>
    <w:rsid w:val="00E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72E60"/>
  <w15:docId w15:val="{26DA746C-2F5A-2D46-88E3-B723C15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683</Words>
  <Characters>4910</Characters>
  <Application>Microsoft Office Word</Application>
  <DocSecurity>0</DocSecurity>
  <Lines>96</Lines>
  <Paragraphs>33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2025-03-09T09:04:00Z</dcterms:created>
  <dcterms:modified xsi:type="dcterms:W3CDTF">2025-03-09T09:15:00Z</dcterms:modified>
</cp:coreProperties>
</file>