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708.661417322834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Повтор как стилеобразующая конструкция и ее специфика в текстах Е. Водолазкина (роман “Брисбен”)</w:t>
      </w:r>
    </w:p>
    <w:p w:rsidR="00000000" w:rsidDel="00000000" w:rsidP="00000000" w:rsidRDefault="00000000" w:rsidRPr="00000000" w14:paraId="00000002">
      <w:pPr>
        <w:ind w:left="0" w:firstLine="708.6614173228347"/>
        <w:jc w:val="center"/>
        <w:rPr/>
      </w:pPr>
      <w:r w:rsidDel="00000000" w:rsidR="00000000" w:rsidRPr="00000000">
        <w:rPr>
          <w:rtl w:val="0"/>
        </w:rPr>
        <w:t xml:space="preserve">Кудряшова Мария Игоревна</w:t>
      </w:r>
    </w:p>
    <w:p w:rsidR="00000000" w:rsidDel="00000000" w:rsidP="00000000" w:rsidRDefault="00000000" w:rsidRPr="00000000" w14:paraId="00000003">
      <w:pPr>
        <w:ind w:left="0" w:firstLine="708.6614173228347"/>
        <w:jc w:val="center"/>
        <w:rPr/>
      </w:pPr>
      <w:r w:rsidDel="00000000" w:rsidR="00000000" w:rsidRPr="00000000">
        <w:rPr>
          <w:rtl w:val="0"/>
        </w:rPr>
        <w:t xml:space="preserve">Студентка Московского государственного университета имени М. В. Ломоносова, Москва, Россия</w:t>
      </w:r>
    </w:p>
    <w:p w:rsidR="00000000" w:rsidDel="00000000" w:rsidP="00000000" w:rsidRDefault="00000000" w:rsidRPr="00000000" w14:paraId="00000004">
      <w:pPr>
        <w:ind w:left="0" w:firstLine="708.6614173228347"/>
        <w:jc w:val="center"/>
        <w:rPr>
          <w:shd w:fill="d9ea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В романе Е. Водолазкина “Брисбен” </w:t>
      </w:r>
      <w:r w:rsidDel="00000000" w:rsidR="00000000" w:rsidRPr="00000000">
        <w:rPr>
          <w:rtl w:val="0"/>
        </w:rPr>
        <w:t xml:space="preserve">(ссылки в тексте даны по изданию, указанному в списке литературы</w:t>
      </w:r>
      <w:r w:rsidDel="00000000" w:rsidR="00000000" w:rsidRPr="00000000">
        <w:rPr>
          <w:rtl w:val="0"/>
        </w:rPr>
        <w:t xml:space="preserve">) художественный приём повтора не только характеризует идиостиль автора, но и структурирует текст, создаёт систему “реляций”, образующих вторичные смыслы. </w:t>
      </w:r>
    </w:p>
    <w:p w:rsidR="00000000" w:rsidDel="00000000" w:rsidP="00000000" w:rsidRDefault="00000000" w:rsidRPr="00000000" w14:paraId="00000006">
      <w:pPr>
        <w:ind w:left="0" w:firstLine="708.6614173228347"/>
        <w:rPr/>
      </w:pPr>
      <w:r w:rsidDel="00000000" w:rsidR="00000000" w:rsidRPr="00000000">
        <w:rPr>
          <w:rtl w:val="0"/>
        </w:rPr>
        <w:t xml:space="preserve">В соответствии с концепцией С. Карцевского асимметричный дуализм языкового знака проявляет себя в полисемии (Карцевский не делает различия между полисемией и омонимией) и синонимии, которые распределены между участниками коммуникативного акта. </w:t>
      </w:r>
      <w:r w:rsidDel="00000000" w:rsidR="00000000" w:rsidRPr="00000000">
        <w:rPr>
          <w:rtl w:val="0"/>
        </w:rPr>
        <w:t xml:space="preserve">Полисемия снимается слушающим, восстанавливающим из контекста необходимый смысл, а синонимия – говорящим, выбирающим из предлагаемых системой возможностей знак, необходимый для передачи смысла в определенных речевых условиях. [Чернейко, 2016: 50].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Асимметрия-полисемия знака обусловливает его текстопорождающую потенцию и в художественном тексте проявляет себя в совмещении в пределах одного контекста разных значений одного слова: </w:t>
      </w:r>
      <w:r w:rsidDel="00000000" w:rsidR="00000000" w:rsidRPr="00000000">
        <w:rPr>
          <w:i w:val="1"/>
          <w:rtl w:val="0"/>
        </w:rPr>
        <w:t xml:space="preserve">Молчание Сильвестра было столь глубоким, что, казалось, у него </w:t>
      </w:r>
      <w:r w:rsidDel="00000000" w:rsidR="00000000" w:rsidRPr="00000000">
        <w:rPr>
          <w:b w:val="1"/>
          <w:i w:val="1"/>
          <w:rtl w:val="0"/>
        </w:rPr>
        <w:t xml:space="preserve">исчез </w:t>
      </w:r>
      <w:r w:rsidDel="00000000" w:rsidR="00000000" w:rsidRPr="00000000">
        <w:rPr>
          <w:i w:val="1"/>
          <w:rtl w:val="0"/>
        </w:rPr>
        <w:t xml:space="preserve">голос. В конце концов</w:t>
      </w:r>
      <w:r w:rsidDel="00000000" w:rsidR="00000000" w:rsidRPr="00000000">
        <w:rPr>
          <w:b w:val="1"/>
          <w:i w:val="1"/>
          <w:rtl w:val="0"/>
        </w:rPr>
        <w:t xml:space="preserve"> исчез</w:t>
      </w:r>
      <w:r w:rsidDel="00000000" w:rsidR="00000000" w:rsidRPr="00000000">
        <w:rPr>
          <w:i w:val="1"/>
          <w:rtl w:val="0"/>
        </w:rPr>
        <w:t xml:space="preserve"> и сам Сильвестр.</w:t>
      </w:r>
      <w:r w:rsidDel="00000000" w:rsidR="00000000" w:rsidRPr="00000000">
        <w:rPr>
          <w:rtl w:val="0"/>
        </w:rPr>
        <w:t xml:space="preserve"> С одной стороны, такого рода повтор (в риторике – “антанаклаза”) можно рассматривать как </w:t>
      </w:r>
      <w:r w:rsidDel="00000000" w:rsidR="00000000" w:rsidRPr="00000000">
        <w:rPr>
          <w:rtl w:val="0"/>
        </w:rPr>
        <w:t xml:space="preserve">приём</w:t>
      </w:r>
      <w:r w:rsidDel="00000000" w:rsidR="00000000" w:rsidRPr="00000000">
        <w:rPr>
          <w:rtl w:val="0"/>
        </w:rPr>
        <w:t xml:space="preserve"> языковой игры, с другой – он </w:t>
      </w:r>
      <w:r w:rsidDel="00000000" w:rsidR="00000000" w:rsidRPr="00000000">
        <w:rPr>
          <w:rtl w:val="0"/>
        </w:rPr>
        <w:t xml:space="preserve">создаёт</w:t>
      </w:r>
      <w:r w:rsidDel="00000000" w:rsidR="00000000" w:rsidRPr="00000000">
        <w:rPr>
          <w:rtl w:val="0"/>
        </w:rPr>
        <w:t xml:space="preserve"> имплицитно выраженный смысл причинно-следственной связи, что соотносится с основной проблемой романа: может ли человек продолжать существовать, если он потерял свой </w:t>
      </w:r>
      <w:r w:rsidDel="00000000" w:rsidR="00000000" w:rsidRPr="00000000">
        <w:rPr>
          <w:i w:val="1"/>
          <w:rtl w:val="0"/>
        </w:rPr>
        <w:t xml:space="preserve">голос</w:t>
      </w:r>
      <w:r w:rsidDel="00000000" w:rsidR="00000000" w:rsidRPr="00000000">
        <w:rPr>
          <w:rtl w:val="0"/>
        </w:rPr>
        <w:t xml:space="preserve">, способ говорить с миром, которым в ситуации главного героя выступает музыка. Контактный повтор означающих в романе варьируется между двумя полюсами:</w:t>
      </w:r>
      <w:r w:rsidDel="00000000" w:rsidR="00000000" w:rsidRPr="00000000">
        <w:rPr>
          <w:rtl w:val="0"/>
        </w:rPr>
        <w:t xml:space="preserve">  смыслообразующей функцией сугубо констатирующей и комическо</w:t>
      </w:r>
      <w:r w:rsidDel="00000000" w:rsidR="00000000" w:rsidRPr="00000000">
        <w:rPr>
          <w:rtl w:val="0"/>
        </w:rPr>
        <w:t xml:space="preserve">й</w:t>
      </w:r>
      <w:r w:rsidDel="00000000" w:rsidR="00000000" w:rsidRPr="00000000">
        <w:rPr>
          <w:rtl w:val="0"/>
        </w:rPr>
        <w:t xml:space="preserve">, например: </w:t>
      </w:r>
      <w:r w:rsidDel="00000000" w:rsidR="00000000" w:rsidRPr="00000000">
        <w:rPr>
          <w:i w:val="1"/>
          <w:rtl w:val="0"/>
        </w:rPr>
        <w:t xml:space="preserve">Так, к сообщению стенгазеты о том, что генсек Черненко </w:t>
      </w:r>
      <w:r w:rsidDel="00000000" w:rsidR="00000000" w:rsidRPr="00000000">
        <w:rPr>
          <w:b w:val="1"/>
          <w:i w:val="1"/>
          <w:rtl w:val="0"/>
        </w:rPr>
        <w:t xml:space="preserve">принял</w:t>
      </w:r>
      <w:r w:rsidDel="00000000" w:rsidR="00000000" w:rsidRPr="00000000">
        <w:rPr>
          <w:i w:val="1"/>
          <w:rtl w:val="0"/>
        </w:rPr>
        <w:t xml:space="preserve"> управление страной, Иван Алексеевич, также успевший уже </w:t>
      </w:r>
      <w:r w:rsidDel="00000000" w:rsidR="00000000" w:rsidRPr="00000000">
        <w:rPr>
          <w:b w:val="1"/>
          <w:i w:val="1"/>
          <w:rtl w:val="0"/>
        </w:rPr>
        <w:t xml:space="preserve">принять</w:t>
      </w:r>
      <w:r w:rsidDel="00000000" w:rsidR="00000000" w:rsidRPr="00000000">
        <w:rPr>
          <w:i w:val="1"/>
          <w:rtl w:val="0"/>
        </w:rPr>
        <w:t xml:space="preserve">, приписал…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В соответствии с концепцией В. Виноградова фразеологические единства отличает от других фразеологических единиц то, что они совпадают по форме со свободными сочетаниями, и приём буквализации также связан с текстопорождающей функцией асимметричного означающего: </w:t>
      </w:r>
      <w:r w:rsidDel="00000000" w:rsidR="00000000" w:rsidRPr="00000000">
        <w:rPr>
          <w:i w:val="1"/>
          <w:rtl w:val="0"/>
        </w:rPr>
        <w:t xml:space="preserve">Как он признался на свадьбе, эрудиция этой женщины</w:t>
      </w:r>
      <w:r w:rsidDel="00000000" w:rsidR="00000000" w:rsidRPr="00000000">
        <w:rPr>
          <w:b w:val="1"/>
          <w:i w:val="1"/>
          <w:rtl w:val="0"/>
        </w:rPr>
        <w:t xml:space="preserve"> сразила его наповал.</w:t>
      </w:r>
      <w:r w:rsidDel="00000000" w:rsidR="00000000" w:rsidRPr="00000000">
        <w:rPr>
          <w:i w:val="1"/>
          <w:rtl w:val="0"/>
        </w:rPr>
        <w:t xml:space="preserve"> &lt;...&gt; Руслана Рудольфовна припоминала, что там, на Ракете, нечто подобное едва не приключилось с ней самой.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В</w:t>
      </w:r>
      <w:r w:rsidDel="00000000" w:rsidR="00000000" w:rsidRPr="00000000">
        <w:rPr>
          <w:rtl w:val="0"/>
        </w:rPr>
        <w:t xml:space="preserve"> тексте также </w:t>
      </w:r>
      <w:r w:rsidDel="00000000" w:rsidR="00000000" w:rsidRPr="00000000">
        <w:rPr>
          <w:rtl w:val="0"/>
        </w:rPr>
        <w:t xml:space="preserve">частотен</w:t>
      </w:r>
      <w:r w:rsidDel="00000000" w:rsidR="00000000" w:rsidRPr="00000000">
        <w:rPr>
          <w:rtl w:val="0"/>
        </w:rPr>
        <w:t xml:space="preserve"> контактный повтор означаемых, реализуемый в конструкции “не X, Y”: …</w:t>
      </w:r>
      <w:r w:rsidDel="00000000" w:rsidR="00000000" w:rsidRPr="00000000">
        <w:rPr>
          <w:i w:val="1"/>
          <w:rtl w:val="0"/>
        </w:rPr>
        <w:t xml:space="preserve">пан Тадеуш пел романсы – есть разница. И </w:t>
      </w:r>
      <w:r w:rsidDel="00000000" w:rsidR="00000000" w:rsidRPr="00000000">
        <w:rPr>
          <w:b w:val="1"/>
          <w:i w:val="1"/>
          <w:rtl w:val="0"/>
        </w:rPr>
        <w:t xml:space="preserve">не пел – исполнял.</w:t>
      </w:r>
      <w:r w:rsidDel="00000000" w:rsidR="00000000" w:rsidRPr="00000000">
        <w:rPr>
          <w:rtl w:val="0"/>
        </w:rPr>
        <w:t xml:space="preserve"> Такая конструкция с оператором отрицания, во-первых, актуализирует семантико-стилистические различия синонимов, в частности глагола ИСПОЛНЯТЬ</w:t>
      </w:r>
      <w:r w:rsidDel="00000000" w:rsidR="00000000" w:rsidRPr="00000000">
        <w:rPr>
          <w:rtl w:val="0"/>
        </w:rPr>
        <w:t xml:space="preserve">: ‘виртуозность исполнения’ и ‘торжественность обстановки’. Во-вторых, уточняющим маркированным глаголом вводится ироничное отношение наблюдателя к персонажу. Кроме того, выявляется своеобразная рефлексия по поводу словоупотребления, характерная для стиля автора в целом.</w:t>
      </w:r>
    </w:p>
    <w:p w:rsidR="00000000" w:rsidDel="00000000" w:rsidP="00000000" w:rsidRDefault="00000000" w:rsidRPr="00000000" w14:paraId="0000000A">
      <w:pPr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Контактному повтору противопоставлен дистантный. Одно и то же означающее в каждом отдельном контексте может соответствовать разным объектам действительности. Так, слово ИЗДЕЛИЕ в анализируемом тексте становится гиперонимом для весьма разнородных референтов: алкогольных напитков, элементов одежды, продуктов и музыкальных инструментов. Они выстраиваются в ассоциативный ряд, обнаруживающий особое отношение повествователя к предметному миру: вещи мыслятся им как продукт труда.</w:t>
      </w:r>
    </w:p>
    <w:p w:rsidR="00000000" w:rsidDel="00000000" w:rsidP="00000000" w:rsidRDefault="00000000" w:rsidRPr="00000000" w14:paraId="0000000B">
      <w:pPr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Наиболее семантически </w:t>
      </w:r>
      <w:r w:rsidDel="00000000" w:rsidR="00000000" w:rsidRPr="00000000">
        <w:rPr>
          <w:rtl w:val="0"/>
        </w:rPr>
        <w:t xml:space="preserve">значим</w:t>
      </w:r>
      <w:r w:rsidDel="00000000" w:rsidR="00000000" w:rsidRPr="00000000">
        <w:rPr>
          <w:rtl w:val="0"/>
        </w:rPr>
        <w:t xml:space="preserve"> дистантный повтор означаемых. Главная идея счастья (Брисбен – город-символ) лейтмотивом проходит через весь текст и находит конкретное воплощение в перцептивно-аксиологической парадигме [Чернейко, 2017: 26], инвариантом которой является сема ‘счастливый’. </w:t>
      </w:r>
      <w:r w:rsidDel="00000000" w:rsidR="00000000" w:rsidRPr="00000000">
        <w:rPr>
          <w:rtl w:val="0"/>
        </w:rPr>
        <w:t xml:space="preserve">Каузаторами</w:t>
      </w:r>
      <w:r w:rsidDel="00000000" w:rsidR="00000000" w:rsidRPr="00000000">
        <w:rPr>
          <w:rtl w:val="0"/>
        </w:rPr>
        <w:t xml:space="preserve"> состояния счастья становятся даже простые проявления жизни: оно</w:t>
      </w:r>
      <w:r w:rsidDel="00000000" w:rsidR="00000000" w:rsidRPr="00000000">
        <w:rPr>
          <w:i w:val="1"/>
          <w:rtl w:val="0"/>
        </w:rPr>
        <w:t xml:space="preserve"> влетает в окна с ночными бабочками, возникает от запаха реки</w:t>
      </w:r>
      <w:r w:rsidDel="00000000" w:rsidR="00000000" w:rsidRPr="00000000">
        <w:rPr>
          <w:rtl w:val="0"/>
        </w:rPr>
        <w:t xml:space="preserve">.  И вместе с тем вследствие своей эфемерности счастье выступает как философская категория, которую герои пытаются осмыслить на протяжении всего романа. И такое </w:t>
      </w:r>
      <w:r w:rsidDel="00000000" w:rsidR="00000000" w:rsidRPr="00000000">
        <w:rPr>
          <w:i w:val="1"/>
          <w:rtl w:val="0"/>
        </w:rPr>
        <w:t xml:space="preserve">счастье вообще</w:t>
      </w:r>
      <w:r w:rsidDel="00000000" w:rsidR="00000000" w:rsidRPr="00000000">
        <w:rPr>
          <w:rtl w:val="0"/>
        </w:rPr>
        <w:t xml:space="preserve"> столь же призрачно, недостижимо, как фантастический Брисбен.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Повтор, не связанный с асимметрией языкового знака, играет значительную роль в композиции романа; текст разбивается на эпизоды посредством повтора одного слова или ряда однокоренных слов в их пределах. В контексте повествования о прошлом повторяемая значимая единица – морфема или лексема – связана прочной ассоциацией с тем или иным воспоминанием. В эпизоде, повествующем об освоении Глебом игры на домре, многократно повторяется слово НЮАНС, что объясняется не столько его семантической нагруженностью, сколько особым отношением героя-музыканта к его фонетической стороне: </w:t>
      </w:r>
      <w:r w:rsidDel="00000000" w:rsidR="00000000" w:rsidRPr="00000000">
        <w:rPr>
          <w:i w:val="1"/>
          <w:rtl w:val="0"/>
        </w:rPr>
        <w:t xml:space="preserve">Само слово нюанс Глеба завораживало. Оно было таким выразительным, таким </w:t>
      </w:r>
      <w:r w:rsidDel="00000000" w:rsidR="00000000" w:rsidRPr="00000000">
        <w:rPr>
          <w:i w:val="1"/>
          <w:rtl w:val="0"/>
        </w:rPr>
        <w:t xml:space="preserve">утончённым</w:t>
      </w:r>
      <w:r w:rsidDel="00000000" w:rsidR="00000000" w:rsidRPr="00000000">
        <w:rPr>
          <w:i w:val="1"/>
          <w:rtl w:val="0"/>
        </w:rPr>
        <w:t xml:space="preserve">, что не требовало уточнений. </w:t>
      </w:r>
      <w:r w:rsidDel="00000000" w:rsidR="00000000" w:rsidRPr="00000000">
        <w:rPr>
          <w:rtl w:val="0"/>
        </w:rPr>
        <w:t xml:space="preserve">Этот и подобные контексты свидетельствуют о рефлексии повествователя, связанной со словом, и имеют статус метатекста.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Повтор становится инструментом ёмкой характеристики персонажей: </w:t>
      </w:r>
      <w:r w:rsidDel="00000000" w:rsidR="00000000" w:rsidRPr="00000000">
        <w:rPr>
          <w:i w:val="1"/>
          <w:rtl w:val="0"/>
        </w:rPr>
        <w:t xml:space="preserve">неблагоразумная</w:t>
      </w:r>
      <w:r w:rsidDel="00000000" w:rsidR="00000000" w:rsidRPr="00000000">
        <w:rPr>
          <w:rtl w:val="0"/>
        </w:rPr>
        <w:t xml:space="preserve"> Елена Марковна, </w:t>
      </w:r>
      <w:r w:rsidDel="00000000" w:rsidR="00000000" w:rsidRPr="00000000">
        <w:rPr>
          <w:i w:val="1"/>
          <w:rtl w:val="0"/>
        </w:rPr>
        <w:t xml:space="preserve">сложный </w:t>
      </w:r>
      <w:r w:rsidDel="00000000" w:rsidR="00000000" w:rsidRPr="00000000">
        <w:rPr>
          <w:rtl w:val="0"/>
        </w:rPr>
        <w:t xml:space="preserve">Фёдор (далее в тексте эти акциденции субстантивируются); к слову </w:t>
      </w:r>
      <w:r w:rsidDel="00000000" w:rsidR="00000000" w:rsidRPr="00000000">
        <w:rPr>
          <w:i w:val="1"/>
          <w:rtl w:val="0"/>
        </w:rPr>
        <w:t xml:space="preserve">“нет”</w:t>
      </w:r>
      <w:r w:rsidDel="00000000" w:rsidR="00000000" w:rsidRPr="00000000">
        <w:rPr>
          <w:rtl w:val="0"/>
        </w:rPr>
        <w:t xml:space="preserve"> в семье Нестора имеют вкус. </w:t>
      </w:r>
    </w:p>
    <w:p w:rsidR="00000000" w:rsidDel="00000000" w:rsidP="00000000" w:rsidRDefault="00000000" w:rsidRPr="00000000" w14:paraId="0000000D">
      <w:pPr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На речевом уровне автором используются разнообразные виды повторов в качестве риторических фигур. Экстенсивный полиптот повышает удельный вес слова в тексте, выделяя важное понятие: </w:t>
      </w:r>
      <w:r w:rsidDel="00000000" w:rsidR="00000000" w:rsidRPr="00000000">
        <w:rPr>
          <w:i w:val="1"/>
          <w:rtl w:val="0"/>
        </w:rPr>
        <w:t xml:space="preserve">Дома многое отвлекало. Дома. Дому. Дом. Единственный, возможно, в его жизни.</w:t>
      </w:r>
      <w:r w:rsidDel="00000000" w:rsidR="00000000" w:rsidRPr="00000000">
        <w:rPr>
          <w:rtl w:val="0"/>
        </w:rPr>
        <w:t xml:space="preserve"> Приведение полной парадигмы склонения существительного ПУТЬ в русском и украинском языках важно в контексте национального вопроса. Этимологическая фигура выступает средством языковой игры:</w:t>
      </w:r>
      <w:r w:rsidDel="00000000" w:rsidR="00000000" w:rsidRPr="00000000">
        <w:rPr>
          <w:i w:val="1"/>
          <w:rtl w:val="0"/>
        </w:rPr>
        <w:t xml:space="preserve"> Свой вкус имела и вода из-под крана – точнее, она была удивительно невкусной.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708.6614173228347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708.661417322834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Литература</w:t>
      </w:r>
    </w:p>
    <w:p w:rsidR="00000000" w:rsidDel="00000000" w:rsidP="00000000" w:rsidRDefault="00000000" w:rsidRPr="00000000" w14:paraId="00000010">
      <w:pPr>
        <w:ind w:left="0" w:firstLine="708.661417322834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708.6614173228347"/>
        <w:rPr/>
      </w:pPr>
      <w:r w:rsidDel="00000000" w:rsidR="00000000" w:rsidRPr="00000000">
        <w:rPr>
          <w:i w:val="1"/>
          <w:rtl w:val="0"/>
        </w:rPr>
        <w:t xml:space="preserve">Водолазкин Е. Г.</w:t>
      </w:r>
      <w:r w:rsidDel="00000000" w:rsidR="00000000" w:rsidRPr="00000000">
        <w:rPr>
          <w:rtl w:val="0"/>
        </w:rPr>
        <w:t xml:space="preserve"> Брисбен. М., 2023.</w:t>
      </w:r>
    </w:p>
    <w:p w:rsidR="00000000" w:rsidDel="00000000" w:rsidP="00000000" w:rsidRDefault="00000000" w:rsidRPr="00000000" w14:paraId="00000012">
      <w:pPr>
        <w:ind w:left="0" w:firstLine="708.6614173228347"/>
        <w:rPr/>
      </w:pPr>
      <w:r w:rsidDel="00000000" w:rsidR="00000000" w:rsidRPr="00000000">
        <w:rPr>
          <w:i w:val="1"/>
          <w:rtl w:val="0"/>
        </w:rPr>
        <w:t xml:space="preserve">Чернейко Л. О.</w:t>
      </w:r>
      <w:r w:rsidDel="00000000" w:rsidR="00000000" w:rsidRPr="00000000">
        <w:rPr>
          <w:rtl w:val="0"/>
        </w:rPr>
        <w:t xml:space="preserve"> Асимметрия языкового знака в связи с проблемой </w:t>
      </w:r>
      <w:r w:rsidDel="00000000" w:rsidR="00000000" w:rsidRPr="00000000">
        <w:rPr>
          <w:rtl w:val="0"/>
        </w:rPr>
        <w:t xml:space="preserve">смысловосприятия</w:t>
      </w:r>
      <w:r w:rsidDel="00000000" w:rsidR="00000000" w:rsidRPr="00000000">
        <w:rPr>
          <w:rtl w:val="0"/>
        </w:rPr>
        <w:t xml:space="preserve"> и смыслопорождения. // Слово. Грамматика. Речь: Сборник научно-методических статей по преподаванию РКИ. Вып. XVII. М., 2016. С. 50-57.</w:t>
      </w:r>
    </w:p>
    <w:p w:rsidR="00000000" w:rsidDel="00000000" w:rsidP="00000000" w:rsidRDefault="00000000" w:rsidRPr="00000000" w14:paraId="00000013">
      <w:pPr>
        <w:ind w:left="0" w:firstLine="708.6614173228347"/>
        <w:rPr/>
      </w:pPr>
      <w:r w:rsidDel="00000000" w:rsidR="00000000" w:rsidRPr="00000000">
        <w:rPr>
          <w:i w:val="1"/>
          <w:rtl w:val="0"/>
        </w:rPr>
        <w:t xml:space="preserve">Чернейко Л.О.</w:t>
      </w:r>
      <w:r w:rsidDel="00000000" w:rsidR="00000000" w:rsidRPr="00000000">
        <w:rPr>
          <w:rtl w:val="0"/>
        </w:rPr>
        <w:t xml:space="preserve"> Как рождается смысл: Смысловая структура художественного текста и лингвистические принципы ее моделирования. - М., 2017.</w:t>
      </w:r>
    </w:p>
    <w:p w:rsidR="00000000" w:rsidDel="00000000" w:rsidP="00000000" w:rsidRDefault="00000000" w:rsidRPr="00000000" w14:paraId="00000014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417.3228346456694" w:right="1417.32283464566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ind w:firstLine="708.661417322834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