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Основы местоимений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себ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соб-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теб-, тоб-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 косвенных падежах в памятниках деловой письменности XIV-XV вв.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4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Оборина Полина Павловна</w:t>
      </w:r>
    </w:p>
    <w:p w:rsidR="00000000" w:rsidDel="00000000" w:rsidP="00000000" w:rsidRDefault="00000000" w:rsidRPr="00000000" w14:paraId="00000003">
      <w:pPr>
        <w:spacing w:after="120" w:line="24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Студентка Московского государственного университета имени М.В. Ломоносова, Москва, Россия</w:t>
      </w:r>
    </w:p>
    <w:p w:rsidR="00000000" w:rsidDel="00000000" w:rsidP="00000000" w:rsidRDefault="00000000" w:rsidRPr="00000000" w14:paraId="00000004">
      <w:pPr>
        <w:spacing w:after="120" w:line="24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1fob9te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докладе рассматривается употребление местоимения 2-го л. и возвратного в памятниках деловой письменности XIV–XV вв. Материалом исследования послужили духовные и договорные грамоты по изданию [Духовные и договорные грамоты великих и удельных князей XIV-XVI вв. 1950] (далее – ДДГ). В скобках рядом с примерами указан номер текста и время его написания. В издании отсутствует локализация памятников, поэтому сопоставление употребления местоимений с современными диалектными данными становится проблематичным. </w:t>
      </w:r>
    </w:p>
    <w:p w:rsidR="00000000" w:rsidDel="00000000" w:rsidP="00000000" w:rsidRDefault="00000000" w:rsidRPr="00000000" w14:paraId="00000006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Исходная система косвенных падежей местоимений 2-го лица и возвратного восстанавливается следующим образом: 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7" w:tblpY="15"/>
        <w:tblW w:w="66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5"/>
        <w:gridCol w:w="2625"/>
        <w:gridCol w:w="2625"/>
        <w:tblGridChange w:id="0">
          <w:tblGrid>
            <w:gridCol w:w="1425"/>
            <w:gridCol w:w="2625"/>
            <w:gridCol w:w="26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Р. п. </w:t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тебе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Д. п. 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тобѣ, ти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собѣ, си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В. п. 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202122"/>
                <w:sz w:val="24"/>
                <w:szCs w:val="24"/>
                <w:rtl w:val="0"/>
              </w:rPr>
              <w:t xml:space="preserve">ѧ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202122"/>
                <w:sz w:val="24"/>
                <w:szCs w:val="24"/>
                <w:rtl w:val="0"/>
              </w:rPr>
              <w:t xml:space="preserve">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М. п. 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тобѣ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собѣ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Т.п.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тобою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собою</w:t>
            </w:r>
          </w:p>
        </w:tc>
      </w:tr>
    </w:tbl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обоих местоимений основы Д.-М. пп. и Р.-В. пп. были разными. В Д.-М. пп. в исходной системе в основе был корневой гласный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-о-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тобѣ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собѣ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в то время как в Р. п. (а после распада системы энклитик и в В. п.) - корневой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-е-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тебе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или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тебя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себе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или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себя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</w:t>
      </w:r>
    </w:p>
    <w:p w:rsidR="00000000" w:rsidDel="00000000" w:rsidP="00000000" w:rsidRDefault="00000000" w:rsidRPr="00000000" w14:paraId="00000022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системе личных местоимений протекал процесс унификации основ, в результате которого основы местоимений могли выравниваться по Д.-М. пп. (с основами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тоб-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соб-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или по Р.-В. пп. (с основами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теб-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себ-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Процесс выравнивания шел постепенно, поэтому до его завершения основы с корневым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-о-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с корневым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-е-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могли сосуществовать и конкурировать. </w:t>
      </w:r>
    </w:p>
    <w:p w:rsidR="00000000" w:rsidDel="00000000" w:rsidP="00000000" w:rsidRDefault="00000000" w:rsidRPr="00000000" w14:paraId="00000023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ДДГ обнаруживаются оба варианта основ, часто они встречаются в рамках одной грамоты, что отражает протекание процесса унификации. </w:t>
      </w:r>
    </w:p>
    <w:p w:rsidR="00000000" w:rsidDel="00000000" w:rsidP="00000000" w:rsidRDefault="00000000" w:rsidRPr="00000000" w14:paraId="00000024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Анализ примеров употребления местоимения 2-го л. и возвратного в Р.-В. пп. и Д.-М. пп. показал, что выравнивание могло произойти дважды. Первые примеры из ДДГ (середина XIV и конец XV в.) говорят о том, что могла быть сильная тенденция к унификации по основам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тоб-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соб-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(грамот XIV в. немного, так что остаточные основы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теб-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себ-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Р.-М. пп. могли не отразиться); Однако примеров употребления возвратного местоимения в В. п. не найдено, так что можно только предположить, что и основа В.п. возвратного местоимения была параллельна основе Р. п. Примеры из грамот середины XIV – начала XV в. даны ниже.</w:t>
      </w:r>
    </w:p>
    <w:p w:rsidR="00000000" w:rsidDel="00000000" w:rsidP="00000000" w:rsidRDefault="00000000" w:rsidRPr="00000000" w14:paraId="00000025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Р. п.: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целовали есмы межи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со[бе]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кр(е)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тъ;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(2, около 1350-1351 г.);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тако же и мнѣ без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тобе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(5, около 1367 г.).</w:t>
      </w:r>
    </w:p>
    <w:p w:rsidR="00000000" w:rsidDel="00000000" w:rsidP="00000000" w:rsidRDefault="00000000" w:rsidRPr="00000000" w14:paraId="00000026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 п.: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мнѣ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тобе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кормити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(5, около 1367 г.);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иму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тобе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обидѣти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(7,около 1374-1375 г.);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поиду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тобе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(9; 1375 г.). </w:t>
      </w:r>
    </w:p>
    <w:p w:rsidR="00000000" w:rsidDel="00000000" w:rsidP="00000000" w:rsidRDefault="00000000" w:rsidRPr="00000000" w14:paraId="00000027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Д. п.: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 приказываю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тоб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02124"/>
          <w:sz w:val="24"/>
          <w:szCs w:val="24"/>
          <w:highlight w:val="white"/>
          <w:rtl w:val="0"/>
        </w:rPr>
        <w:t xml:space="preserve">ѣ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02124"/>
          <w:sz w:val="24"/>
          <w:szCs w:val="24"/>
          <w:highlight w:val="white"/>
          <w:rtl w:val="0"/>
        </w:rPr>
        <w:t xml:space="preserve"> сну своѥму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rtl w:val="0"/>
        </w:rPr>
        <w:t xml:space="preserve">(1а, 1339 г.);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амъ ихъ к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собѣ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не приимати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(2, около 1350-1351 г.)</w:t>
      </w:r>
    </w:p>
    <w:p w:rsidR="00000000" w:rsidDel="00000000" w:rsidP="00000000" w:rsidRDefault="00000000" w:rsidRPr="00000000" w14:paraId="00000028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М. п.: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то есмь дал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л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при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соб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02124"/>
          <w:sz w:val="24"/>
          <w:szCs w:val="24"/>
          <w:highlight w:val="white"/>
          <w:rtl w:val="0"/>
        </w:rPr>
        <w:t xml:space="preserve">ѣ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rtl w:val="0"/>
        </w:rPr>
        <w:t xml:space="preserve">(1а, 1339 г.);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по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тобѣ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помагати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(9, 1375 г.). </w:t>
      </w:r>
    </w:p>
    <w:p w:rsidR="00000000" w:rsidDel="00000000" w:rsidP="00000000" w:rsidRDefault="00000000" w:rsidRPr="00000000" w14:paraId="00000029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Первые примеры употребления основ с корневым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-е-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найдены в грамотах 9 (1375 г.), 10 (1382 г.), 11 (1389 г.) и 14 (не ранее 1390 г.), однако встречаются и основы с корневым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-о-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 Примеры с основами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теб-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себ-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из этих грамот даны ниже. </w:t>
      </w:r>
    </w:p>
    <w:p w:rsidR="00000000" w:rsidDel="00000000" w:rsidP="00000000" w:rsidRDefault="00000000" w:rsidRPr="00000000" w14:paraId="0000002B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 п.: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поиду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на на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татарове или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02124"/>
          <w:sz w:val="24"/>
          <w:szCs w:val="24"/>
          <w:rtl w:val="0"/>
        </w:rPr>
        <w:t xml:space="preserve">тебе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искати пере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тебе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(9, 1375 г.)</w:t>
      </w:r>
    </w:p>
    <w:p w:rsidR="00000000" w:rsidDel="00000000" w:rsidP="00000000" w:rsidRDefault="00000000" w:rsidRPr="00000000" w14:paraId="0000002C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Д. п.: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кого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себѣ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изберу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(10, 1382 г.);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 коли ми буде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самому вѣсти на конь, 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тебѣ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со мною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(11, 1389 г.)</w:t>
      </w:r>
    </w:p>
    <w:p w:rsidR="00000000" w:rsidDel="00000000" w:rsidP="00000000" w:rsidRDefault="00000000" w:rsidRPr="00000000" w14:paraId="0000002D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Р.п.: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не канчивати бе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з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тебе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(14, не ранее 1390 г.). </w:t>
      </w:r>
    </w:p>
    <w:p w:rsidR="00000000" w:rsidDel="00000000" w:rsidP="00000000" w:rsidRDefault="00000000" w:rsidRPr="00000000" w14:paraId="0000002E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 с корневым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М. п. не было обнаружено. </w:t>
      </w:r>
    </w:p>
    <w:p w:rsidR="00000000" w:rsidDel="00000000" w:rsidP="00000000" w:rsidRDefault="00000000" w:rsidRPr="00000000" w14:paraId="0000002F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с конца XIV в. начинается новый процесс выравнивания, в течение которого конкурируют основы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тоб-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соб-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теб-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себ-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30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середине XV в. процесс не завершился, основы продолжали сосуществовать, и обе основы могли встречаться в рамках одной грамоты начиная с конца XIV в. Примеры из одной из таких грамот (38 I а, 1441-1442 г.) даны ниже. </w:t>
      </w:r>
    </w:p>
    <w:p w:rsidR="00000000" w:rsidDel="00000000" w:rsidP="00000000" w:rsidRDefault="00000000" w:rsidRPr="00000000" w14:paraId="00000031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Р. п.: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ни мнѣ не канчивати бес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тобѧ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 оу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тебѧ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ми имати выхо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В. п.: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мнѣ 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тобѧ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с тѣмъ оучинити в докончанiи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мнѣ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тебѧ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держати в бра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ствѣ.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Д. п.: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тебѣ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к тому целова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е сложыти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штω есмь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собѣ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примысли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тебѣ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со мною поити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 беру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себѣ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тре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е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34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анализе примеров употребления возвратного местоимения в разных падежах в рамках одной грамоты не было обнаружено вариативности основ (сравнивались только грамоты, где есть примеры на разные падежи). Чаще употребляется основа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соб-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чем основа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себ-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35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Анализ примеров местоимения 2-го л. в разных падежах в рамках одной грамоты показывает другие результаты. Встречается вариативность основ в рамках одной грамоты в разных падежах. В тех же грамотах, где не прослеживается вариативности основ, в большинстве случаев употребляется основа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тоб-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6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данные, полученные из ДДГ, говорят о том, что в середине XIV в. местоимения 2-го л. и возвратное в Р.-В. пп. имели сильную тенденцию к унификации по основам Д.-М.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тоб-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соб-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Начиная с конца XIV в. пошел обратный процесс: выравнивание основ местоимений 2-го л. и возвратного в Д.-М. пп. по остаточным основам Р.-В. пп.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теб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себ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-, так что во всех четырех падежах какое-то время сосуществовали и конкурировали основы с корневым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-е-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с корневым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-о-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и к середине XV в. выравнивание еще не завершилось. 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3A">
      <w:pPr>
        <w:spacing w:line="24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Духовные и договорные грамоты великих и удельных князей XIV-XVI вв. 1950 – Д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уховные и договорные грамоты великих и удельных князей XIV-XVI вв. / Подгот. к печати Л.В. Черепнин. 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М.; Л.: Изд-во Акад. наук СССР, 1950.</w:t>
      </w:r>
    </w:p>
    <w:p w:rsidR="00000000" w:rsidDel="00000000" w:rsidP="00000000" w:rsidRDefault="00000000" w:rsidRPr="00000000" w14:paraId="0000003C">
      <w:pPr>
        <w:spacing w:line="24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133" w:top="1133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6">
    <w:name w:val="Balloon Text"/>
    <w:basedOn w:val="a"/>
    <w:link w:val="a7"/>
    <w:uiPriority w:val="99"/>
    <w:semiHidden w:val="1"/>
    <w:unhideWhenUsed w:val="1"/>
    <w:rsid w:val="005041B6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a7" w:customStyle="1">
    <w:name w:val="Текст выноски Знак"/>
    <w:basedOn w:val="a0"/>
    <w:link w:val="a6"/>
    <w:uiPriority w:val="99"/>
    <w:semiHidden w:val="1"/>
    <w:rsid w:val="005041B6"/>
    <w:rPr>
      <w:rFonts w:ascii="Segoe UI" w:cs="Segoe UI" w:hAnsi="Segoe UI"/>
      <w:sz w:val="18"/>
      <w:szCs w:val="18"/>
    </w:rPr>
  </w:style>
  <w:style w:type="character" w:styleId="a8">
    <w:name w:val="annotation reference"/>
    <w:basedOn w:val="a0"/>
    <w:uiPriority w:val="99"/>
    <w:semiHidden w:val="1"/>
    <w:unhideWhenUsed w:val="1"/>
    <w:rsid w:val="005041B6"/>
    <w:rPr>
      <w:sz w:val="16"/>
      <w:szCs w:val="16"/>
    </w:rPr>
  </w:style>
  <w:style w:type="paragraph" w:styleId="a9">
    <w:name w:val="annotation text"/>
    <w:basedOn w:val="a"/>
    <w:link w:val="aa"/>
    <w:uiPriority w:val="99"/>
    <w:semiHidden w:val="1"/>
    <w:unhideWhenUsed w:val="1"/>
    <w:rsid w:val="005041B6"/>
    <w:pPr>
      <w:spacing w:line="240" w:lineRule="auto"/>
    </w:pPr>
    <w:rPr>
      <w:sz w:val="20"/>
      <w:szCs w:val="20"/>
    </w:rPr>
  </w:style>
  <w:style w:type="character" w:styleId="aa" w:customStyle="1">
    <w:name w:val="Текст примечания Знак"/>
    <w:basedOn w:val="a0"/>
    <w:link w:val="a9"/>
    <w:uiPriority w:val="99"/>
    <w:semiHidden w:val="1"/>
    <w:rsid w:val="005041B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 w:val="1"/>
    <w:unhideWhenUsed w:val="1"/>
    <w:rsid w:val="005041B6"/>
    <w:rPr>
      <w:b w:val="1"/>
      <w:bCs w:val="1"/>
    </w:rPr>
  </w:style>
  <w:style w:type="character" w:styleId="ac" w:customStyle="1">
    <w:name w:val="Тема примечания Знак"/>
    <w:basedOn w:val="aa"/>
    <w:link w:val="ab"/>
    <w:uiPriority w:val="99"/>
    <w:semiHidden w:val="1"/>
    <w:rsid w:val="005041B6"/>
    <w:rPr>
      <w:b w:val="1"/>
      <w:bCs w:val="1"/>
      <w:sz w:val="20"/>
      <w:szCs w:val="20"/>
    </w:rPr>
  </w:style>
  <w:style w:type="table" w:styleId="ad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nbmgu.ru/order/storing.aspx?uid=c1cd87fb-d5ca-4cb0-8899-fc6e771b9a28&amp;cat=book&amp;db=BOOK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PuzRK3FHCQlbb59QuEdtV+N+BQ==">CgMxLjAyCGguZ2pkZ3hzMgloLjFmb2I5dGUyCWguMzBqMHpsbDgAalYKNXN1Z2dlc3RJZEltcG9ydDI4MGQyZjE4LTFhNjgtNDk2Yi1iMDZlLWFkODE4MjNhZmViNF81Eh3QldC70LXQvdCwINCT0LDQu9C40L3RgdC60LDRj2pWCjVzdWdnZXN0SWRJbXBvcnQyODBkMmYxOC0xYTY4LTQ5NmItYjA2ZS1hZDgxODIzYWZlYjRfNhId0JXQu9C10L3QsCDQk9Cw0LvQuNC90YHQutCw0Y9qVgo1c3VnZ2VzdElkSW1wb3J0MjgwZDJmMTgtMWE2OC00OTZiLWIwNmUtYWQ4MTgyM2FmZWI0XzMSHdCV0LvQtdC90LAg0JPQsNC70LjQvdGB0LrQsNGPalcKNnN1Z2dlc3RJZEltcG9ydDI4MGQyZjE4LTFhNjgtNDk2Yi1iMDZlLWFkODE4MjNhZmViNF8yNBId0JXQu9C10L3QsCDQk9Cw0LvQuNC90YHQutCw0Y9qVwo2c3VnZ2VzdElkSW1wb3J0MjgwZDJmMTgtMWE2OC00OTZiLWIwNmUtYWQ4MTgyM2FmZWI0XzIwEh3QldC70LXQvdCwINCT0LDQu9C40L3RgdC60LDRj2pXCjZzdWdnZXN0SWRJbXBvcnQyODBkMmYxOC0xYTY4LTQ5NmItYjA2ZS1hZDgxODIzYWZlYjRfMjcSHdCV0LvQtdC90LAg0JPQsNC70LjQvdGB0LrQsNGPalcKNnN1Z2dlc3RJZEltcG9ydDI4MGQyZjE4LTFhNjgtNDk2Yi1iMDZlLWFkODE4MjNhZmViNF8yNhId0JXQu9C10L3QsCDQk9Cw0LvQuNC90YHQutCw0Y9qVwo2c3VnZ2VzdElkSW1wb3J0MjgwZDJmMTgtMWE2OC00OTZiLWIwNmUtYWQ4MTgyM2FmZWI0XzIzEh3QldC70LXQvdCwINCT0LDQu9C40L3RgdC60LDRj2pXCjZzdWdnZXN0SWRJbXBvcnQyODBkMmYxOC0xYTY4LTQ5NmItYjA2ZS1hZDgxODIzYWZlYjRfMTMSHdCV0LvQtdC90LAg0JPQsNC70LjQvdGB0LrQsNGPalYKNXN1Z2dlc3RJZEltcG9ydDI4MGQyZjE4LTFhNjgtNDk2Yi1iMDZlLWFkODE4MjNhZmViNF8xEh3QldC70LXQvdCwINCT0LDQu9C40L3RgdC60LDRj2pXCjZzdWdnZXN0SWRJbXBvcnQyODBkMmYxOC0xYTY4LTQ5NmItYjA2ZS1hZDgxODIzYWZlYjRfMTASHdCV0LvQtdC90LAg0JPQsNC70LjQvdGB0LrQsNGPalcKNnN1Z2dlc3RJZEltcG9ydDI4MGQyZjE4LTFhNjgtNDk2Yi1iMDZlLWFkODE4MjNhZmViNF8yMhId0JXQu9C10L3QsCDQk9Cw0LvQuNC90YHQutCw0Y9qVwo2c3VnZ2VzdElkSW1wb3J0MjgwZDJmMTgtMWE2OC00OTZiLWIwNmUtYWQ4MTgyM2FmZWI0XzE1Eh3QldC70LXQvdCwINCT0LDQu9C40L3RgdC60LDRj2pXCjZzdWdnZXN0SWRJbXBvcnQyODBkMmYxOC0xYTY4LTQ5NmItYjA2ZS1hZDgxODIzYWZlYjRfMTQSHdCV0LvQtdC90LAg0JPQsNC70LjQvdGB0LrQsNGPciExamc2QlZ0M3l5bWFYV0JsWDFXSTY4S3owMmlhMGc1L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2025-02-27T12:18:00Z</dcterms:created>
  <dc:creator>Елена Галинская</dc:creator>
</cp:coreProperties>
</file>