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4281" w14:textId="66BFB40F" w:rsidR="000D59F8" w:rsidRDefault="000D59F8" w:rsidP="00EC6A45">
      <w:pPr>
        <w:spacing w:before="240"/>
        <w:jc w:val="center"/>
        <w:rPr>
          <w:b/>
        </w:rPr>
      </w:pPr>
      <w:r>
        <w:rPr>
          <w:b/>
        </w:rPr>
        <w:t xml:space="preserve">Определение тромбина в смеси с альбумином методом интерферометрии </w:t>
      </w:r>
      <w:proofErr w:type="spellStart"/>
      <w:r>
        <w:rPr>
          <w:b/>
        </w:rPr>
        <w:t>биослоёв</w:t>
      </w:r>
      <w:proofErr w:type="spellEnd"/>
    </w:p>
    <w:p w14:paraId="6DB764E2" w14:textId="6C54D2F1" w:rsidR="000D59F8" w:rsidRPr="006B757D" w:rsidRDefault="000D59F8" w:rsidP="00EC6A45">
      <w:pPr>
        <w:jc w:val="center"/>
        <w:rPr>
          <w:b/>
          <w:i/>
          <w:vertAlign w:val="superscript"/>
        </w:rPr>
      </w:pPr>
      <w:r w:rsidRPr="003F4B9F">
        <w:rPr>
          <w:b/>
          <w:i/>
        </w:rPr>
        <w:t>Сулима А.О.</w:t>
      </w:r>
      <w:r w:rsidRPr="003F4B9F">
        <w:rPr>
          <w:b/>
          <w:i/>
          <w:vertAlign w:val="superscript"/>
        </w:rPr>
        <w:t xml:space="preserve"> 1</w:t>
      </w:r>
      <w:r>
        <w:rPr>
          <w:b/>
          <w:i/>
        </w:rPr>
        <w:t xml:space="preserve">, Моисеенко В.Л. </w:t>
      </w:r>
      <w:r>
        <w:rPr>
          <w:b/>
          <w:i/>
          <w:vertAlign w:val="superscript"/>
        </w:rPr>
        <w:t>1,2,3</w:t>
      </w:r>
      <w:r>
        <w:rPr>
          <w:b/>
          <w:i/>
        </w:rPr>
        <w:t xml:space="preserve">, Мухаметова Л.И. </w:t>
      </w:r>
      <w:r>
        <w:rPr>
          <w:b/>
          <w:i/>
          <w:vertAlign w:val="superscript"/>
        </w:rPr>
        <w:t>1</w:t>
      </w:r>
    </w:p>
    <w:p w14:paraId="3214A397" w14:textId="645066C0" w:rsidR="003F4B9F" w:rsidRPr="003F4B9F" w:rsidRDefault="003F4B9F" w:rsidP="003F4B9F">
      <w:pPr>
        <w:jc w:val="center"/>
        <w:rPr>
          <w:i/>
        </w:rPr>
      </w:pPr>
      <w:r>
        <w:rPr>
          <w:i/>
        </w:rPr>
        <w:t>Студент, 2 курс специалитета</w:t>
      </w:r>
    </w:p>
    <w:p w14:paraId="2FA613F6" w14:textId="07D02AF4" w:rsidR="000D59F8" w:rsidRDefault="000D59F8" w:rsidP="00EC6A45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</w:rPr>
      </w:pPr>
      <w:r>
        <w:rPr>
          <w:i/>
          <w:vertAlign w:val="superscript"/>
        </w:rPr>
        <w:t>1</w:t>
      </w:r>
      <w:r>
        <w:rPr>
          <w:i/>
        </w:rPr>
        <w:t xml:space="preserve"> </w:t>
      </w:r>
      <w:r w:rsidR="00060F97" w:rsidRPr="004201AA">
        <w:rPr>
          <w:i/>
        </w:rPr>
        <w:t xml:space="preserve">Химический факультет, </w:t>
      </w:r>
      <w:r>
        <w:rPr>
          <w:i/>
        </w:rPr>
        <w:t xml:space="preserve">Московский государственный университет имени М.В. </w:t>
      </w:r>
      <w:r w:rsidR="00060F97">
        <w:rPr>
          <w:i/>
        </w:rPr>
        <w:t> </w:t>
      </w:r>
      <w:r>
        <w:rPr>
          <w:i/>
        </w:rPr>
        <w:t>Ломоносова, Москва</w:t>
      </w:r>
      <w:r w:rsidR="003F4B9F">
        <w:rPr>
          <w:i/>
        </w:rPr>
        <w:t>,</w:t>
      </w:r>
      <w:r w:rsidR="003F4B9F" w:rsidRPr="003F4B9F">
        <w:rPr>
          <w:i/>
          <w:color w:val="000000"/>
        </w:rPr>
        <w:t xml:space="preserve"> </w:t>
      </w:r>
      <w:r w:rsidR="003F4B9F">
        <w:rPr>
          <w:i/>
          <w:color w:val="000000"/>
        </w:rPr>
        <w:t>Россия</w:t>
      </w:r>
    </w:p>
    <w:p w14:paraId="0B47DC24" w14:textId="43C9CA32" w:rsidR="000D59F8" w:rsidRDefault="000D59F8" w:rsidP="00EC6A45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</w:rPr>
      </w:pPr>
      <w:r>
        <w:rPr>
          <w:i/>
          <w:vertAlign w:val="superscript"/>
        </w:rPr>
        <w:t>2</w:t>
      </w:r>
      <w:r>
        <w:rPr>
          <w:i/>
        </w:rPr>
        <w:t xml:space="preserve"> Научно-исследовательский институт физико-химической биологии имени</w:t>
      </w:r>
      <w:r w:rsidR="00060F97">
        <w:rPr>
          <w:i/>
        </w:rPr>
        <w:t> </w:t>
      </w:r>
      <w:r>
        <w:rPr>
          <w:i/>
        </w:rPr>
        <w:t>А.Н.</w:t>
      </w:r>
      <w:r w:rsidR="00060F97">
        <w:rPr>
          <w:i/>
        </w:rPr>
        <w:t> </w:t>
      </w:r>
      <w:r>
        <w:rPr>
          <w:i/>
        </w:rPr>
        <w:t>Белозерского, Москва</w:t>
      </w:r>
      <w:r w:rsidR="003F4B9F">
        <w:rPr>
          <w:i/>
        </w:rPr>
        <w:t>,</w:t>
      </w:r>
      <w:r w:rsidR="003F4B9F" w:rsidRPr="003F4B9F">
        <w:rPr>
          <w:i/>
          <w:color w:val="000000"/>
        </w:rPr>
        <w:t xml:space="preserve"> </w:t>
      </w:r>
      <w:r w:rsidR="003F4B9F">
        <w:rPr>
          <w:i/>
          <w:color w:val="000000"/>
        </w:rPr>
        <w:t>Россия</w:t>
      </w:r>
    </w:p>
    <w:p w14:paraId="3024AA57" w14:textId="08147434" w:rsidR="000D59F8" w:rsidRDefault="000D59F8" w:rsidP="00EC6A4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</w:rPr>
      </w:pPr>
      <w:r>
        <w:rPr>
          <w:i/>
          <w:vertAlign w:val="superscript"/>
        </w:rPr>
        <w:t>3</w:t>
      </w:r>
      <w:r>
        <w:rPr>
          <w:i/>
        </w:rPr>
        <w:t xml:space="preserve"> Национальный медицинский исследовательский центр нейрохирургии</w:t>
      </w:r>
      <w:r w:rsidR="00060F97">
        <w:rPr>
          <w:i/>
        </w:rPr>
        <w:br/>
      </w:r>
      <w:r>
        <w:rPr>
          <w:i/>
        </w:rPr>
        <w:t>имени</w:t>
      </w:r>
      <w:r w:rsidR="00060F97">
        <w:rPr>
          <w:i/>
        </w:rPr>
        <w:t> </w:t>
      </w:r>
      <w:r>
        <w:rPr>
          <w:i/>
        </w:rPr>
        <w:t>академика Н.Н. Бурденко</w:t>
      </w:r>
      <w:r w:rsidR="00EC6A45">
        <w:rPr>
          <w:i/>
        </w:rPr>
        <w:t>, Москва</w:t>
      </w:r>
      <w:r w:rsidR="003F4B9F">
        <w:rPr>
          <w:i/>
        </w:rPr>
        <w:t>,</w:t>
      </w:r>
      <w:r w:rsidR="003F4B9F" w:rsidRPr="003F4B9F">
        <w:rPr>
          <w:i/>
          <w:color w:val="000000"/>
        </w:rPr>
        <w:t xml:space="preserve"> </w:t>
      </w:r>
      <w:r w:rsidR="003F4B9F">
        <w:rPr>
          <w:i/>
          <w:color w:val="000000"/>
        </w:rPr>
        <w:t>Россия</w:t>
      </w:r>
    </w:p>
    <w:p w14:paraId="1C777345" w14:textId="2D8DD763" w:rsidR="000D59F8" w:rsidRPr="00EC6A45" w:rsidRDefault="00EB1F49" w:rsidP="00EC6A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C6A45">
        <w:rPr>
          <w:i/>
          <w:lang w:val="en-US"/>
        </w:rPr>
        <w:t>E</w:t>
      </w:r>
      <w:r w:rsidR="003B76D6" w:rsidRPr="00EC6A45">
        <w:rPr>
          <w:i/>
        </w:rPr>
        <w:t>-</w:t>
      </w:r>
      <w:r w:rsidRPr="00EC6A45">
        <w:rPr>
          <w:i/>
          <w:lang w:val="en-US"/>
        </w:rPr>
        <w:t>mail</w:t>
      </w:r>
      <w:r w:rsidRPr="00EC6A45">
        <w:rPr>
          <w:i/>
        </w:rPr>
        <w:t>:</w:t>
      </w:r>
      <w:r w:rsidR="000D59F8" w:rsidRPr="00EC6A45">
        <w:rPr>
          <w:i/>
        </w:rPr>
        <w:t xml:space="preserve"> </w:t>
      </w:r>
      <w:hyperlink r:id="rId6" w:history="1">
        <w:r w:rsidR="000D59F8" w:rsidRPr="00EC6A45">
          <w:rPr>
            <w:rStyle w:val="a9"/>
            <w:i/>
            <w:color w:val="auto"/>
            <w:lang w:val="en-US"/>
          </w:rPr>
          <w:t>anniesulima</w:t>
        </w:r>
        <w:r w:rsidR="000D59F8" w:rsidRPr="00EC6A45">
          <w:rPr>
            <w:rStyle w:val="a9"/>
            <w:i/>
            <w:color w:val="auto"/>
          </w:rPr>
          <w:t>@</w:t>
        </w:r>
        <w:r w:rsidR="000D59F8" w:rsidRPr="00EC6A45">
          <w:rPr>
            <w:rStyle w:val="a9"/>
            <w:i/>
            <w:color w:val="auto"/>
            <w:lang w:val="en-US"/>
          </w:rPr>
          <w:t>yandex</w:t>
        </w:r>
        <w:r w:rsidR="000D59F8" w:rsidRPr="00EC6A45">
          <w:rPr>
            <w:rStyle w:val="a9"/>
            <w:i/>
            <w:color w:val="auto"/>
          </w:rPr>
          <w:t>.</w:t>
        </w:r>
        <w:r w:rsidR="000D59F8" w:rsidRPr="00EC6A45">
          <w:rPr>
            <w:rStyle w:val="a9"/>
            <w:i/>
            <w:color w:val="auto"/>
            <w:lang w:val="en-US"/>
          </w:rPr>
          <w:t>ru</w:t>
        </w:r>
      </w:hyperlink>
      <w:r w:rsidRPr="00EC6A45">
        <w:rPr>
          <w:i/>
          <w:color w:val="000000"/>
        </w:rPr>
        <w:t xml:space="preserve"> </w:t>
      </w:r>
    </w:p>
    <w:p w14:paraId="04C6D449" w14:textId="70D3F67F" w:rsidR="000D59F8" w:rsidRDefault="000D59F8" w:rsidP="004201AA">
      <w:pPr>
        <w:ind w:firstLine="397"/>
        <w:jc w:val="both"/>
      </w:pPr>
      <w:r>
        <w:t>Аптамеры - небольшие одноцепочечные олигонуклеотиды</w:t>
      </w:r>
      <w:r w:rsidR="004201AA" w:rsidRPr="004201AA">
        <w:t xml:space="preserve">, </w:t>
      </w:r>
      <w:r>
        <w:t xml:space="preserve">способные специфически узнавать и с высоким сродством связывать </w:t>
      </w:r>
      <w:r w:rsidR="00060F97" w:rsidRPr="004201AA">
        <w:t>свои</w:t>
      </w:r>
      <w:r w:rsidRPr="004201AA">
        <w:t xml:space="preserve"> </w:t>
      </w:r>
      <w:r>
        <w:t xml:space="preserve">мишени. Потенциальное </w:t>
      </w:r>
      <w:r w:rsidR="000E192E">
        <w:t xml:space="preserve">практическое </w:t>
      </w:r>
      <w:r>
        <w:t xml:space="preserve">применение аптамеров – детекция молекулярных мишеней </w:t>
      </w:r>
      <w:proofErr w:type="spellStart"/>
      <w:r w:rsidRPr="00060F97">
        <w:rPr>
          <w:i/>
        </w:rPr>
        <w:t>in</w:t>
      </w:r>
      <w:proofErr w:type="spellEnd"/>
      <w:r w:rsidRPr="00060F97">
        <w:rPr>
          <w:i/>
        </w:rPr>
        <w:t xml:space="preserve"> </w:t>
      </w:r>
      <w:proofErr w:type="spellStart"/>
      <w:r w:rsidRPr="00060F97">
        <w:rPr>
          <w:i/>
        </w:rPr>
        <w:t>vivo</w:t>
      </w:r>
      <w:proofErr w:type="spellEnd"/>
      <w:r>
        <w:t xml:space="preserve">. Вследствие этого </w:t>
      </w:r>
      <w:r w:rsidR="000E192E">
        <w:t xml:space="preserve">появляется </w:t>
      </w:r>
      <w:r>
        <w:t>необходимо</w:t>
      </w:r>
      <w:r w:rsidR="000E192E">
        <w:t>сть</w:t>
      </w:r>
      <w:r>
        <w:t xml:space="preserve"> оценивать аффинность аптамера к мишени в</w:t>
      </w:r>
      <w:r w:rsidR="003F4B9F">
        <w:t xml:space="preserve"> </w:t>
      </w:r>
      <w:r w:rsidR="003F4B9F" w:rsidRPr="004201AA">
        <w:t>смесях</w:t>
      </w:r>
      <w:r w:rsidR="00060F97" w:rsidRPr="004201AA">
        <w:t>, приближенных к плазме крови</w:t>
      </w:r>
      <w:r w:rsidR="003F4B9F">
        <w:t>.</w:t>
      </w:r>
      <w:r w:rsidR="00060F97">
        <w:t xml:space="preserve"> </w:t>
      </w:r>
    </w:p>
    <w:p w14:paraId="3DA6142A" w14:textId="26E8BC50" w:rsidR="00060F97" w:rsidRPr="004201AA" w:rsidRDefault="00060F97" w:rsidP="004201AA">
      <w:pPr>
        <w:ind w:firstLine="397"/>
        <w:jc w:val="both"/>
      </w:pPr>
      <w:r w:rsidRPr="004201AA">
        <w:t>Целью работы был</w:t>
      </w:r>
      <w:r w:rsidR="00680E2D" w:rsidRPr="004201AA">
        <w:t>а оценка изменения аффинности известного аптамера к тромбину 15ТВА в присутствии более высоких концентраций альбумина.</w:t>
      </w:r>
    </w:p>
    <w:p w14:paraId="6B162A3F" w14:textId="56F15D22" w:rsidR="00DB52A4" w:rsidRDefault="000D59F8" w:rsidP="004201AA">
      <w:pPr>
        <w:ind w:firstLine="397"/>
        <w:jc w:val="both"/>
      </w:pPr>
      <w:r>
        <w:t xml:space="preserve">В работе была оценена активность нескольких образцов </w:t>
      </w:r>
      <w:r w:rsidR="00680E2D" w:rsidRPr="004201AA">
        <w:t xml:space="preserve">человеческого </w:t>
      </w:r>
      <w:r>
        <w:t>тромбина при взаимодействии с хромогенным субстратом S-2238</w:t>
      </w:r>
      <w:r w:rsidR="009A7880">
        <w:t xml:space="preserve"> по изменению поглощения при 405 нм. </w:t>
      </w:r>
      <w:r w:rsidR="003F4B9F" w:rsidRPr="004201AA">
        <w:t xml:space="preserve">Образец </w:t>
      </w:r>
      <w:r w:rsidR="00680E2D" w:rsidRPr="004201AA">
        <w:t>с</w:t>
      </w:r>
      <w:r w:rsidR="003F4B9F" w:rsidRPr="004201AA">
        <w:t xml:space="preserve"> наибольш</w:t>
      </w:r>
      <w:r w:rsidR="00680E2D" w:rsidRPr="004201AA">
        <w:t>ей</w:t>
      </w:r>
      <w:r w:rsidR="003F4B9F" w:rsidRPr="004201AA">
        <w:t xml:space="preserve"> активность</w:t>
      </w:r>
      <w:r w:rsidR="00680E2D" w:rsidRPr="004201AA">
        <w:t>ю</w:t>
      </w:r>
      <w:r w:rsidR="003F4B9F" w:rsidRPr="004201AA">
        <w:t xml:space="preserve"> использовался далее в экспериментах </w:t>
      </w:r>
      <w:r w:rsidR="009A7880" w:rsidRPr="004201AA">
        <w:t xml:space="preserve">интерферометрии </w:t>
      </w:r>
      <w:proofErr w:type="spellStart"/>
      <w:r w:rsidR="009A7880" w:rsidRPr="004201AA">
        <w:t>биослоёв</w:t>
      </w:r>
      <w:proofErr w:type="spellEnd"/>
      <w:r w:rsidR="009A7880" w:rsidRPr="004201AA">
        <w:t xml:space="preserve"> (ИБС).</w:t>
      </w:r>
      <w:r w:rsidR="004201AA" w:rsidRPr="004201AA">
        <w:rPr>
          <w:color w:val="FF0000"/>
        </w:rPr>
        <w:t xml:space="preserve"> </w:t>
      </w:r>
      <w:r>
        <w:t xml:space="preserve">На поверхность </w:t>
      </w:r>
      <w:proofErr w:type="spellStart"/>
      <w:r>
        <w:t>стрептавидинового</w:t>
      </w:r>
      <w:proofErr w:type="spellEnd"/>
      <w:r>
        <w:t xml:space="preserve"> биосенсора иммобилизовали </w:t>
      </w:r>
      <w:proofErr w:type="spellStart"/>
      <w:r>
        <w:t>биотинилированный</w:t>
      </w:r>
      <w:proofErr w:type="spellEnd"/>
      <w:r>
        <w:t xml:space="preserve"> 15TBA, в растворе находился тромбин, БСА или смесь белков тромбин-БСА в различных концентрациях.</w:t>
      </w:r>
    </w:p>
    <w:p w14:paraId="5ACA9FC0" w14:textId="09BD531F" w:rsidR="000D59F8" w:rsidRPr="00D81E2C" w:rsidRDefault="00DB6368" w:rsidP="004201AA">
      <w:pPr>
        <w:ind w:firstLine="397"/>
        <w:jc w:val="both"/>
      </w:pPr>
      <w:r>
        <w:t xml:space="preserve">Для индивидуальных белков – тромбина и БСА – методом интерферометрии </w:t>
      </w:r>
      <w:proofErr w:type="spellStart"/>
      <w:r>
        <w:t>биослоёв</w:t>
      </w:r>
      <w:proofErr w:type="spellEnd"/>
      <w:r>
        <w:t xml:space="preserve"> были определены к</w:t>
      </w:r>
      <w:r w:rsidR="000D59F8">
        <w:t>онстанты скоростей ассоциации (</w:t>
      </w:r>
      <w:proofErr w:type="spellStart"/>
      <w:r w:rsidR="000D59F8">
        <w:t>kon</w:t>
      </w:r>
      <w:proofErr w:type="spellEnd"/>
      <w:r w:rsidR="000D59F8">
        <w:t>) и диссоциации (</w:t>
      </w:r>
      <w:proofErr w:type="spellStart"/>
      <w:r w:rsidR="000D59F8">
        <w:t>koff</w:t>
      </w:r>
      <w:proofErr w:type="spellEnd"/>
      <w:r w:rsidR="000D59F8">
        <w:t>) и кажущиеся константы диссоциации (</w:t>
      </w:r>
      <w:proofErr w:type="spellStart"/>
      <w:r w:rsidR="000D59F8">
        <w:t>кКд</w:t>
      </w:r>
      <w:proofErr w:type="spellEnd"/>
      <w:r w:rsidR="000D59F8">
        <w:t xml:space="preserve">) комплексов </w:t>
      </w:r>
      <w:r>
        <w:t>15</w:t>
      </w:r>
      <w:r>
        <w:rPr>
          <w:lang w:val="en-US"/>
        </w:rPr>
        <w:t>TBA</w:t>
      </w:r>
      <w:r w:rsidRPr="00DB6368">
        <w:t>-</w:t>
      </w:r>
      <w:r>
        <w:t>белок. Для смесей тромбин-БСА в концентрационных соотношениях 1:1, 1:10, 1:100</w:t>
      </w:r>
      <w:r w:rsidR="00623A7D">
        <w:t xml:space="preserve"> и 1:1000</w:t>
      </w:r>
      <w:r>
        <w:t xml:space="preserve"> получены </w:t>
      </w:r>
      <w:r w:rsidR="00D81E2C">
        <w:t xml:space="preserve">и проанализированы </w:t>
      </w:r>
      <w:proofErr w:type="spellStart"/>
      <w:r>
        <w:t>сенсограммы</w:t>
      </w:r>
      <w:proofErr w:type="spellEnd"/>
      <w:r w:rsidR="00D81E2C">
        <w:t>, характеризующие взаимодействие аптамера 15</w:t>
      </w:r>
      <w:r w:rsidR="00D81E2C">
        <w:rPr>
          <w:lang w:val="en-US"/>
        </w:rPr>
        <w:t>TBA</w:t>
      </w:r>
      <w:r w:rsidR="00D81E2C">
        <w:t xml:space="preserve"> с </w:t>
      </w:r>
      <w:r w:rsidR="009A7880">
        <w:t>тромбином в присутствии альбумина</w:t>
      </w:r>
      <w:r w:rsidR="00D81E2C">
        <w:t>.</w:t>
      </w:r>
    </w:p>
    <w:p w14:paraId="7D022B24" w14:textId="1769AAED" w:rsidR="00D81E2C" w:rsidRPr="00FD2DBD" w:rsidRDefault="00D81E2C" w:rsidP="004201AA">
      <w:pPr>
        <w:ind w:firstLine="397"/>
        <w:jc w:val="both"/>
        <w:rPr>
          <w:strike/>
          <w:color w:val="FF0000"/>
        </w:rPr>
      </w:pPr>
      <w:r w:rsidRPr="004201AA">
        <w:t>Полученные</w:t>
      </w:r>
      <w:r w:rsidR="006B757D">
        <w:t xml:space="preserve"> </w:t>
      </w:r>
      <w:r w:rsidRPr="004201AA">
        <w:t xml:space="preserve">численные значения равновесных </w:t>
      </w:r>
      <w:proofErr w:type="spellStart"/>
      <w:r w:rsidRPr="004201AA">
        <w:t>кКд</w:t>
      </w:r>
      <w:proofErr w:type="spellEnd"/>
      <w:r w:rsidRPr="004201AA">
        <w:t xml:space="preserve"> не являются единственным критерием для оценки аффинности аптамеров, поскольку на взаимодействие также влияет удельная активность белка. [2] </w:t>
      </w:r>
      <w:r w:rsidR="00623A7D" w:rsidRPr="004201AA">
        <w:t xml:space="preserve">Взаимодействие </w:t>
      </w:r>
      <w:r w:rsidR="00623A7D">
        <w:t xml:space="preserve">аптамера с мишенью в присутствии альбумина отличается от взаимодействия </w:t>
      </w:r>
      <w:r w:rsidR="006B757D">
        <w:t>без него.</w:t>
      </w:r>
      <w:r w:rsidR="00623A7D">
        <w:t xml:space="preserve"> </w:t>
      </w:r>
      <w:r w:rsidR="006B757D">
        <w:t>В</w:t>
      </w:r>
      <w:r w:rsidR="00623A7D">
        <w:t xml:space="preserve">озможно, вклад в </w:t>
      </w:r>
      <w:r w:rsidR="00FD2DBD">
        <w:t xml:space="preserve">наблюдаемое различие вносит стабилизация тромбина в растворе в присутствии альбумина, что приводит к более эффективному взаимодействию 15ТВА-тромбин. </w:t>
      </w:r>
      <w:r w:rsidR="006B757D">
        <w:t xml:space="preserve">Уже при концентрации БСА в смеси, в 10 раз превышающей концентрацию тромбина, наблюдается увеличение амплитуды и скорости изменения сигнала. </w:t>
      </w:r>
      <w:r w:rsidR="00FD2DBD">
        <w:t>Неспецифическое взаимодействие 15ТВА-БСА вносит значимый вклад в сигнал взаимодействия аптамера с тромбином при 100-1000-кратном избытке альбумина.</w:t>
      </w:r>
      <w:r w:rsidR="00623A7D">
        <w:t xml:space="preserve"> </w:t>
      </w:r>
      <w:r w:rsidRPr="004201AA">
        <w:t xml:space="preserve">В случае </w:t>
      </w:r>
      <w:r w:rsidR="004201AA">
        <w:t xml:space="preserve">с </w:t>
      </w:r>
      <w:r w:rsidRPr="004201AA">
        <w:t>белковыми смесями важно учитыва</w:t>
      </w:r>
      <w:r w:rsidR="004201AA">
        <w:t>ть</w:t>
      </w:r>
      <w:r w:rsidRPr="004201AA">
        <w:t> амплитуду и скорость</w:t>
      </w:r>
      <w:r w:rsidR="004A116F" w:rsidRPr="004201AA">
        <w:t xml:space="preserve"> </w:t>
      </w:r>
      <w:r w:rsidRPr="004201AA">
        <w:t>изменения кинетических кривых ассоциации и диссоциации</w:t>
      </w:r>
      <w:r w:rsidR="004A116F" w:rsidRPr="004201AA">
        <w:t xml:space="preserve"> для определения соотношения белков, при котором наблюдается специфичное взаимодействие аптамер-мишень.</w:t>
      </w:r>
    </w:p>
    <w:p w14:paraId="682BF44D" w14:textId="04FF8CDC" w:rsidR="004A116F" w:rsidRPr="004A116F" w:rsidRDefault="004A116F" w:rsidP="004201AA">
      <w:pPr>
        <w:ind w:firstLine="397"/>
        <w:jc w:val="both"/>
        <w:rPr>
          <w:i/>
          <w:iCs/>
        </w:rPr>
      </w:pPr>
      <w:r w:rsidRPr="004A116F">
        <w:rPr>
          <w:i/>
          <w:iCs/>
        </w:rPr>
        <w:t>Работа выполнена при поддержке гранта Министерства науки и высшего образования РФ (соглашение № 075-15-2024-561 от 24.04.2024 г.)</w:t>
      </w:r>
    </w:p>
    <w:p w14:paraId="6FC44546" w14:textId="07A029C8" w:rsidR="000D59F8" w:rsidRPr="000E192E" w:rsidRDefault="000D59F8" w:rsidP="004201AA">
      <w:pPr>
        <w:ind w:firstLine="720"/>
        <w:jc w:val="center"/>
        <w:rPr>
          <w:b/>
          <w:bCs/>
          <w:lang w:val="en-US"/>
        </w:rPr>
      </w:pPr>
      <w:r w:rsidRPr="000E192E">
        <w:rPr>
          <w:b/>
          <w:bCs/>
        </w:rPr>
        <w:t>Литература</w:t>
      </w:r>
    </w:p>
    <w:p w14:paraId="459B86A6" w14:textId="77777777" w:rsidR="004A116F" w:rsidRPr="004A116F" w:rsidRDefault="004A116F" w:rsidP="00102D11">
      <w:pPr>
        <w:rPr>
          <w:lang w:val="en-US"/>
        </w:rPr>
      </w:pPr>
      <w:r w:rsidRPr="00E81D35">
        <w:rPr>
          <w:color w:val="000000"/>
          <w:lang w:val="en-US"/>
        </w:rPr>
        <w:t xml:space="preserve">1. </w:t>
      </w:r>
      <w:r w:rsidRPr="004A116F">
        <w:rPr>
          <w:lang w:val="en-US"/>
        </w:rPr>
        <w:t xml:space="preserve">Bock L.C., Griffin L.C., Latham J.A. at el. Selection of single-stranded DNA molecules that bind and inhibit human thrombin // Nature. 1992. Vol. 355. P. 564-566. </w:t>
      </w:r>
    </w:p>
    <w:p w14:paraId="1A2C27B8" w14:textId="4BCEFD9E" w:rsidR="00102D11" w:rsidRPr="006B757D" w:rsidRDefault="004A116F" w:rsidP="00102D11">
      <w:r w:rsidRPr="00E81D35">
        <w:rPr>
          <w:color w:val="000000"/>
          <w:lang w:val="en-US"/>
        </w:rPr>
        <w:t xml:space="preserve">2. </w:t>
      </w:r>
      <w:r w:rsidRPr="004A116F">
        <w:rPr>
          <w:lang w:val="en-US"/>
        </w:rPr>
        <w:t xml:space="preserve">Moiseenko V.L., Antipova O.M., </w:t>
      </w:r>
      <w:proofErr w:type="spellStart"/>
      <w:r w:rsidRPr="004A116F">
        <w:rPr>
          <w:lang w:val="en-US"/>
        </w:rPr>
        <w:t>Rybina</w:t>
      </w:r>
      <w:proofErr w:type="spellEnd"/>
      <w:r w:rsidRPr="004A116F">
        <w:rPr>
          <w:lang w:val="en-US"/>
        </w:rPr>
        <w:t xml:space="preserve"> A.A., et al. Post-Selection Design of Aptamers: Comparative Study of Affinity of the DNA Aptamers to Recombinant Extracellular Domain of Human Epidermal Growth Factor Receptors // Biochemistry (</w:t>
      </w:r>
      <w:proofErr w:type="spellStart"/>
      <w:r w:rsidRPr="004A116F">
        <w:rPr>
          <w:lang w:val="en-US"/>
        </w:rPr>
        <w:t>Mosc</w:t>
      </w:r>
      <w:proofErr w:type="spellEnd"/>
      <w:r w:rsidRPr="004A116F">
        <w:rPr>
          <w:lang w:val="en-US"/>
        </w:rPr>
        <w:t xml:space="preserve">). </w:t>
      </w:r>
      <w:r w:rsidRPr="004201AA">
        <w:rPr>
          <w:lang w:val="en-US"/>
        </w:rPr>
        <w:t xml:space="preserve">2024. </w:t>
      </w:r>
      <w:proofErr w:type="spellStart"/>
      <w:r w:rsidRPr="004A116F">
        <w:t>Vol</w:t>
      </w:r>
      <w:proofErr w:type="spellEnd"/>
      <w:r w:rsidRPr="004A116F">
        <w:t xml:space="preserve">. 89. P. 2183-2193. </w:t>
      </w:r>
    </w:p>
    <w:sectPr w:rsidR="00102D11" w:rsidRPr="006B757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174D2"/>
    <w:multiLevelType w:val="hybridMultilevel"/>
    <w:tmpl w:val="D9A89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A16"/>
    <w:multiLevelType w:val="hybridMultilevel"/>
    <w:tmpl w:val="7A464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D11AA"/>
    <w:multiLevelType w:val="hybridMultilevel"/>
    <w:tmpl w:val="91084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91B5B"/>
    <w:multiLevelType w:val="multilevel"/>
    <w:tmpl w:val="45E617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F3C29"/>
    <w:multiLevelType w:val="hybridMultilevel"/>
    <w:tmpl w:val="5C721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358621">
    <w:abstractNumId w:val="6"/>
  </w:num>
  <w:num w:numId="2" w16cid:durableId="142041362">
    <w:abstractNumId w:val="7"/>
  </w:num>
  <w:num w:numId="3" w16cid:durableId="655651660">
    <w:abstractNumId w:val="1"/>
  </w:num>
  <w:num w:numId="4" w16cid:durableId="736123181">
    <w:abstractNumId w:val="0"/>
  </w:num>
  <w:num w:numId="5" w16cid:durableId="1939362405">
    <w:abstractNumId w:val="5"/>
  </w:num>
  <w:num w:numId="6" w16cid:durableId="247733842">
    <w:abstractNumId w:val="2"/>
  </w:num>
  <w:num w:numId="7" w16cid:durableId="1544247926">
    <w:abstractNumId w:val="3"/>
  </w:num>
  <w:num w:numId="8" w16cid:durableId="1952322190">
    <w:abstractNumId w:val="4"/>
  </w:num>
  <w:num w:numId="9" w16cid:durableId="144008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0F97"/>
    <w:rsid w:val="00063966"/>
    <w:rsid w:val="00075D6E"/>
    <w:rsid w:val="00086081"/>
    <w:rsid w:val="0009449A"/>
    <w:rsid w:val="00094FD0"/>
    <w:rsid w:val="000962B9"/>
    <w:rsid w:val="000D59F8"/>
    <w:rsid w:val="000E192E"/>
    <w:rsid w:val="000E334E"/>
    <w:rsid w:val="00101A1C"/>
    <w:rsid w:val="00102D11"/>
    <w:rsid w:val="00103657"/>
    <w:rsid w:val="00106375"/>
    <w:rsid w:val="00107AA3"/>
    <w:rsid w:val="00116478"/>
    <w:rsid w:val="00130241"/>
    <w:rsid w:val="001E61C2"/>
    <w:rsid w:val="001F0493"/>
    <w:rsid w:val="0022259E"/>
    <w:rsid w:val="0022260A"/>
    <w:rsid w:val="002264EE"/>
    <w:rsid w:val="0023307C"/>
    <w:rsid w:val="0031361E"/>
    <w:rsid w:val="00316550"/>
    <w:rsid w:val="00391C38"/>
    <w:rsid w:val="003A1DCA"/>
    <w:rsid w:val="003B76D6"/>
    <w:rsid w:val="003E2601"/>
    <w:rsid w:val="003F4B9F"/>
    <w:rsid w:val="003F4E6B"/>
    <w:rsid w:val="004201AA"/>
    <w:rsid w:val="004A116F"/>
    <w:rsid w:val="004A26A3"/>
    <w:rsid w:val="004F0EDF"/>
    <w:rsid w:val="00522BF1"/>
    <w:rsid w:val="00590166"/>
    <w:rsid w:val="005D022B"/>
    <w:rsid w:val="005E5BE9"/>
    <w:rsid w:val="00623A7D"/>
    <w:rsid w:val="00680E2D"/>
    <w:rsid w:val="0069427D"/>
    <w:rsid w:val="006B757D"/>
    <w:rsid w:val="006F7A19"/>
    <w:rsid w:val="007213E1"/>
    <w:rsid w:val="00775389"/>
    <w:rsid w:val="00797838"/>
    <w:rsid w:val="007B0F56"/>
    <w:rsid w:val="007C36D8"/>
    <w:rsid w:val="007F2744"/>
    <w:rsid w:val="00886FED"/>
    <w:rsid w:val="008931BE"/>
    <w:rsid w:val="008C67E3"/>
    <w:rsid w:val="00914205"/>
    <w:rsid w:val="00921D45"/>
    <w:rsid w:val="009426C0"/>
    <w:rsid w:val="00980A65"/>
    <w:rsid w:val="009A66DB"/>
    <w:rsid w:val="009A7880"/>
    <w:rsid w:val="009B2F80"/>
    <w:rsid w:val="009B3300"/>
    <w:rsid w:val="009D5AD9"/>
    <w:rsid w:val="009F3380"/>
    <w:rsid w:val="00A02163"/>
    <w:rsid w:val="00A314FE"/>
    <w:rsid w:val="00AD7380"/>
    <w:rsid w:val="00B1450E"/>
    <w:rsid w:val="00B844C4"/>
    <w:rsid w:val="00BF36F8"/>
    <w:rsid w:val="00BF4622"/>
    <w:rsid w:val="00C844E2"/>
    <w:rsid w:val="00CA1CD7"/>
    <w:rsid w:val="00CD00B1"/>
    <w:rsid w:val="00D22306"/>
    <w:rsid w:val="00D42542"/>
    <w:rsid w:val="00D8121C"/>
    <w:rsid w:val="00D81E2C"/>
    <w:rsid w:val="00DB52A4"/>
    <w:rsid w:val="00DB6368"/>
    <w:rsid w:val="00E22189"/>
    <w:rsid w:val="00E74069"/>
    <w:rsid w:val="00E81D35"/>
    <w:rsid w:val="00E96089"/>
    <w:rsid w:val="00EB1F49"/>
    <w:rsid w:val="00EC6A45"/>
    <w:rsid w:val="00F77AE8"/>
    <w:rsid w:val="00F865B3"/>
    <w:rsid w:val="00FB1509"/>
    <w:rsid w:val="00FD2DB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B60DB2B4-0985-4251-BFAB-D2815104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2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iesulim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64CB71-FD47-4875-A0EC-372541C7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Antipova</dc:creator>
  <cp:lastModifiedBy>Анна Сулима</cp:lastModifiedBy>
  <cp:revision>4</cp:revision>
  <dcterms:created xsi:type="dcterms:W3CDTF">2025-03-09T11:33:00Z</dcterms:created>
  <dcterms:modified xsi:type="dcterms:W3CDTF">2025-03-09T18:04:00Z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