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F71" w:rsidRPr="000E7F71" w:rsidRDefault="000E7F71" w:rsidP="000E7F71">
      <w:pPr>
        <w:shd w:val="clear" w:color="auto" w:fill="FFFFFF"/>
        <w:spacing w:before="240"/>
        <w:ind w:firstLine="400"/>
        <w:jc w:val="center"/>
      </w:pPr>
      <w:r w:rsidRPr="000E7F71">
        <w:rPr>
          <w:b/>
          <w:bCs/>
          <w:color w:val="000000"/>
        </w:rPr>
        <w:t>Функционирование системы репарации “</w:t>
      </w:r>
      <w:proofErr w:type="spellStart"/>
      <w:r w:rsidRPr="000E7F71">
        <w:rPr>
          <w:b/>
          <w:bCs/>
          <w:color w:val="000000"/>
        </w:rPr>
        <w:t>мисматчей</w:t>
      </w:r>
      <w:proofErr w:type="spellEnd"/>
      <w:r w:rsidRPr="000E7F71">
        <w:rPr>
          <w:b/>
          <w:bCs/>
          <w:color w:val="000000"/>
        </w:rPr>
        <w:t xml:space="preserve">” в G-богатой области промотора гена </w:t>
      </w:r>
      <w:r w:rsidRPr="000E7F71">
        <w:rPr>
          <w:b/>
          <w:bCs/>
          <w:i/>
          <w:color w:val="000000"/>
        </w:rPr>
        <w:t>TERT</w:t>
      </w:r>
      <w:r w:rsidRPr="000E7F71">
        <w:rPr>
          <w:b/>
          <w:bCs/>
          <w:color w:val="000000"/>
        </w:rPr>
        <w:t xml:space="preserve"> человека</w:t>
      </w:r>
    </w:p>
    <w:p w:rsidR="000E7F71" w:rsidRPr="000E7F71" w:rsidRDefault="000E7F71" w:rsidP="000E7F71">
      <w:pPr>
        <w:shd w:val="clear" w:color="auto" w:fill="FFFFFF"/>
        <w:ind w:firstLine="400"/>
        <w:jc w:val="center"/>
      </w:pPr>
      <w:r w:rsidRPr="000E7F71">
        <w:rPr>
          <w:b/>
          <w:bCs/>
          <w:i/>
          <w:iCs/>
          <w:color w:val="000000"/>
        </w:rPr>
        <w:t>Китаева М.И.</w:t>
      </w:r>
      <w:r w:rsidRPr="000E7F71">
        <w:rPr>
          <w:b/>
          <w:bCs/>
          <w:i/>
          <w:iCs/>
          <w:color w:val="000000"/>
          <w:vertAlign w:val="superscript"/>
        </w:rPr>
        <w:t xml:space="preserve"> 1</w:t>
      </w:r>
      <w:r w:rsidRPr="000E7F71">
        <w:rPr>
          <w:b/>
          <w:bCs/>
          <w:i/>
          <w:iCs/>
          <w:color w:val="000000"/>
        </w:rPr>
        <w:t>, Савицкая В.Ю.</w:t>
      </w:r>
      <w:r w:rsidRPr="000E7F71">
        <w:rPr>
          <w:b/>
          <w:bCs/>
          <w:i/>
          <w:iCs/>
          <w:color w:val="000000"/>
          <w:vertAlign w:val="superscript"/>
        </w:rPr>
        <w:t xml:space="preserve"> 1</w:t>
      </w:r>
      <w:r w:rsidRPr="000E7F71">
        <w:rPr>
          <w:b/>
          <w:bCs/>
          <w:i/>
          <w:iCs/>
          <w:color w:val="000000"/>
        </w:rPr>
        <w:t xml:space="preserve">, </w:t>
      </w:r>
      <w:proofErr w:type="spellStart"/>
      <w:r w:rsidRPr="000E7F71">
        <w:rPr>
          <w:b/>
          <w:bCs/>
          <w:i/>
          <w:iCs/>
          <w:color w:val="000000"/>
        </w:rPr>
        <w:t>Монахова</w:t>
      </w:r>
      <w:proofErr w:type="spellEnd"/>
      <w:r w:rsidRPr="000E7F71">
        <w:rPr>
          <w:b/>
          <w:bCs/>
          <w:i/>
          <w:iCs/>
          <w:color w:val="000000"/>
        </w:rPr>
        <w:t xml:space="preserve"> М.В. </w:t>
      </w:r>
      <w:r w:rsidRPr="000E7F71">
        <w:rPr>
          <w:b/>
          <w:bCs/>
          <w:i/>
          <w:iCs/>
          <w:color w:val="000000"/>
          <w:vertAlign w:val="superscript"/>
        </w:rPr>
        <w:t>2</w:t>
      </w:r>
      <w:r w:rsidRPr="000E7F71">
        <w:rPr>
          <w:b/>
          <w:bCs/>
          <w:i/>
          <w:iCs/>
          <w:color w:val="000000"/>
        </w:rPr>
        <w:t xml:space="preserve">, </w:t>
      </w:r>
      <w:proofErr w:type="spellStart"/>
      <w:r w:rsidRPr="000E7F71">
        <w:rPr>
          <w:b/>
          <w:bCs/>
          <w:i/>
          <w:iCs/>
          <w:color w:val="000000"/>
        </w:rPr>
        <w:t>Кубарева</w:t>
      </w:r>
      <w:proofErr w:type="spellEnd"/>
      <w:r w:rsidRPr="000E7F71">
        <w:rPr>
          <w:b/>
          <w:bCs/>
          <w:i/>
          <w:iCs/>
          <w:color w:val="000000"/>
        </w:rPr>
        <w:t xml:space="preserve"> Е.А. </w:t>
      </w:r>
      <w:r w:rsidRPr="000E7F71">
        <w:rPr>
          <w:b/>
          <w:bCs/>
          <w:i/>
          <w:iCs/>
          <w:color w:val="000000"/>
          <w:vertAlign w:val="superscript"/>
        </w:rPr>
        <w:t>2</w:t>
      </w:r>
    </w:p>
    <w:p w:rsidR="000E7F71" w:rsidRPr="000E7F71" w:rsidRDefault="000E7F71" w:rsidP="000E7F71">
      <w:pPr>
        <w:shd w:val="clear" w:color="auto" w:fill="FFFFFF"/>
        <w:ind w:firstLine="400"/>
        <w:jc w:val="center"/>
      </w:pPr>
      <w:r w:rsidRPr="000E7F71">
        <w:rPr>
          <w:i/>
          <w:iCs/>
          <w:color w:val="000000"/>
        </w:rPr>
        <w:t xml:space="preserve">Студентка, 6 курс </w:t>
      </w:r>
      <w:proofErr w:type="spellStart"/>
      <w:r w:rsidRPr="000E7F71">
        <w:rPr>
          <w:i/>
          <w:iCs/>
          <w:color w:val="000000"/>
        </w:rPr>
        <w:t>специалитета</w:t>
      </w:r>
      <w:proofErr w:type="spellEnd"/>
    </w:p>
    <w:p w:rsidR="000E7F71" w:rsidRPr="000E7F71" w:rsidRDefault="000E7F71" w:rsidP="000E7F71">
      <w:pPr>
        <w:shd w:val="clear" w:color="auto" w:fill="FFFFFF"/>
        <w:ind w:firstLine="400"/>
        <w:jc w:val="center"/>
      </w:pPr>
      <w:r w:rsidRPr="000E7F71">
        <w:rPr>
          <w:i/>
          <w:iCs/>
          <w:color w:val="000000"/>
          <w:vertAlign w:val="superscript"/>
        </w:rPr>
        <w:t>1</w:t>
      </w:r>
      <w:r w:rsidRPr="000E7F71">
        <w:rPr>
          <w:i/>
          <w:iCs/>
          <w:color w:val="000000"/>
        </w:rPr>
        <w:t>Московский государственный университет имени М.В. Ломоносова,</w:t>
      </w:r>
      <w:r w:rsidRPr="000E7F71">
        <w:rPr>
          <w:i/>
          <w:iCs/>
          <w:color w:val="000000"/>
        </w:rPr>
        <w:br/>
        <w:t xml:space="preserve"> химический факультет, Москва, Россия</w:t>
      </w:r>
    </w:p>
    <w:p w:rsidR="000E7F71" w:rsidRPr="000E7F71" w:rsidRDefault="000E7F71" w:rsidP="000E7F71">
      <w:pPr>
        <w:shd w:val="clear" w:color="auto" w:fill="FFFFFF"/>
        <w:ind w:firstLine="400"/>
      </w:pPr>
      <w:r w:rsidRPr="000E7F71">
        <w:rPr>
          <w:i/>
          <w:iCs/>
          <w:color w:val="000000"/>
          <w:vertAlign w:val="superscript"/>
        </w:rPr>
        <w:t>2</w:t>
      </w:r>
      <w:r w:rsidRPr="000E7F71">
        <w:rPr>
          <w:i/>
          <w:iCs/>
          <w:color w:val="000000"/>
        </w:rPr>
        <w:t>Институт физико-химической биологии имени А.Н. Белозерского, Москва, Россия</w:t>
      </w:r>
    </w:p>
    <w:p w:rsidR="000E7F71" w:rsidRPr="000E7F71" w:rsidRDefault="000E7F71" w:rsidP="000E7F71">
      <w:pPr>
        <w:shd w:val="clear" w:color="auto" w:fill="FFFFFF"/>
        <w:jc w:val="center"/>
      </w:pPr>
      <w:r w:rsidRPr="000E7F71">
        <w:rPr>
          <w:i/>
          <w:iCs/>
          <w:color w:val="000000"/>
        </w:rPr>
        <w:t>E-</w:t>
      </w:r>
      <w:proofErr w:type="spellStart"/>
      <w:r w:rsidRPr="000E7F71">
        <w:rPr>
          <w:i/>
          <w:iCs/>
          <w:color w:val="000000"/>
        </w:rPr>
        <w:t>mail</w:t>
      </w:r>
      <w:proofErr w:type="spellEnd"/>
      <w:r w:rsidRPr="000E7F71">
        <w:rPr>
          <w:i/>
          <w:iCs/>
          <w:color w:val="000000"/>
        </w:rPr>
        <w:t xml:space="preserve">: </w:t>
      </w:r>
      <w:bookmarkStart w:id="0" w:name="_GoBack"/>
      <w:r w:rsidRPr="004E28F6">
        <w:rPr>
          <w:i/>
          <w:iCs/>
          <w:color w:val="000000"/>
          <w:u w:val="single"/>
        </w:rPr>
        <w:t>makita01@mail.com</w:t>
      </w:r>
      <w:bookmarkEnd w:id="0"/>
    </w:p>
    <w:p w:rsidR="000E7F71" w:rsidRPr="000E7F71" w:rsidRDefault="000E7F71" w:rsidP="00C3375D">
      <w:pPr>
        <w:ind w:firstLine="397"/>
        <w:jc w:val="both"/>
      </w:pPr>
      <w:r w:rsidRPr="000E7F71">
        <w:rPr>
          <w:color w:val="000000"/>
        </w:rPr>
        <w:t xml:space="preserve">В ходе репликации ДНК в клетках живых организмов возникают </w:t>
      </w:r>
      <w:proofErr w:type="spellStart"/>
      <w:r w:rsidRPr="000E7F71">
        <w:rPr>
          <w:color w:val="000000"/>
        </w:rPr>
        <w:t>некомплементарные</w:t>
      </w:r>
      <w:proofErr w:type="spellEnd"/>
      <w:r w:rsidRPr="000E7F71">
        <w:rPr>
          <w:color w:val="000000"/>
        </w:rPr>
        <w:t xml:space="preserve"> нуклеотидные пары или “</w:t>
      </w:r>
      <w:proofErr w:type="spellStart"/>
      <w:r w:rsidRPr="000E7F71">
        <w:rPr>
          <w:color w:val="000000"/>
        </w:rPr>
        <w:t>мисматчи</w:t>
      </w:r>
      <w:proofErr w:type="spellEnd"/>
      <w:r w:rsidRPr="000E7F71">
        <w:rPr>
          <w:color w:val="000000"/>
        </w:rPr>
        <w:t>”. За репарацию таких повреждений отвечает система MMR – эволюционно консервативный процесс, позволяющий удалить “</w:t>
      </w:r>
      <w:proofErr w:type="spellStart"/>
      <w:r w:rsidRPr="000E7F71">
        <w:rPr>
          <w:color w:val="000000"/>
        </w:rPr>
        <w:t>мисматчи</w:t>
      </w:r>
      <w:proofErr w:type="spellEnd"/>
      <w:r w:rsidRPr="000E7F71">
        <w:rPr>
          <w:color w:val="000000"/>
        </w:rPr>
        <w:t>” и заменить их на канонические комплементарные пары оснований. Основными белками MMR являются MutS – сканирующий ДНК в поисках “</w:t>
      </w:r>
      <w:proofErr w:type="spellStart"/>
      <w:r w:rsidRPr="000E7F71">
        <w:rPr>
          <w:color w:val="000000"/>
        </w:rPr>
        <w:t>мисматча</w:t>
      </w:r>
      <w:proofErr w:type="spellEnd"/>
      <w:r w:rsidRPr="000E7F71">
        <w:rPr>
          <w:color w:val="000000"/>
        </w:rPr>
        <w:t xml:space="preserve">”, и </w:t>
      </w:r>
      <w:proofErr w:type="spellStart"/>
      <w:r w:rsidRPr="000E7F71">
        <w:rPr>
          <w:color w:val="000000"/>
        </w:rPr>
        <w:t>MutL</w:t>
      </w:r>
      <w:proofErr w:type="spellEnd"/>
      <w:r w:rsidRPr="000E7F71">
        <w:rPr>
          <w:color w:val="000000"/>
        </w:rPr>
        <w:t xml:space="preserve"> – вносящий разрыв в дочернюю цепь ДНК для инициации репарации. Целью работы является анализ эффективности функционирования белков MMR в G-богатых регуляторных областях генома, таких, как </w:t>
      </w:r>
      <w:proofErr w:type="spellStart"/>
      <w:r w:rsidRPr="000E7F71">
        <w:rPr>
          <w:color w:val="000000"/>
        </w:rPr>
        <w:t>онкопромоторы</w:t>
      </w:r>
      <w:proofErr w:type="spellEnd"/>
      <w:r w:rsidRPr="000E7F71">
        <w:rPr>
          <w:color w:val="000000"/>
        </w:rPr>
        <w:t>.</w:t>
      </w:r>
    </w:p>
    <w:p w:rsidR="000E7F71" w:rsidRPr="000E7F71" w:rsidRDefault="000E7F71" w:rsidP="00C3375D">
      <w:pPr>
        <w:ind w:firstLine="397"/>
        <w:jc w:val="both"/>
      </w:pPr>
      <w:r w:rsidRPr="000E7F71">
        <w:rPr>
          <w:color w:val="000000"/>
        </w:rPr>
        <w:t xml:space="preserve">Объектом исследования был выбран промотор гена </w:t>
      </w:r>
      <w:r w:rsidRPr="000E7F71">
        <w:rPr>
          <w:i/>
          <w:iCs/>
          <w:color w:val="000000"/>
        </w:rPr>
        <w:t>TERT</w:t>
      </w:r>
      <w:r w:rsidRPr="000E7F71">
        <w:rPr>
          <w:color w:val="000000"/>
        </w:rPr>
        <w:t xml:space="preserve">, кодирующий каталитическую субъединицу обратной транскриптазы </w:t>
      </w:r>
      <w:proofErr w:type="spellStart"/>
      <w:r w:rsidRPr="000E7F71">
        <w:rPr>
          <w:color w:val="000000"/>
        </w:rPr>
        <w:t>теломеразы</w:t>
      </w:r>
      <w:proofErr w:type="spellEnd"/>
      <w:r w:rsidRPr="000E7F71">
        <w:rPr>
          <w:color w:val="000000"/>
        </w:rPr>
        <w:t xml:space="preserve">. В раковых клетках происходит </w:t>
      </w:r>
      <w:proofErr w:type="spellStart"/>
      <w:r w:rsidRPr="000E7F71">
        <w:rPr>
          <w:color w:val="000000"/>
        </w:rPr>
        <w:t>гиперактивация</w:t>
      </w:r>
      <w:proofErr w:type="spellEnd"/>
      <w:r w:rsidRPr="000E7F71">
        <w:rPr>
          <w:color w:val="000000"/>
        </w:rPr>
        <w:t xml:space="preserve"> </w:t>
      </w:r>
      <w:r w:rsidRPr="000E7F71">
        <w:rPr>
          <w:i/>
          <w:iCs/>
          <w:color w:val="000000"/>
        </w:rPr>
        <w:t>TERT</w:t>
      </w:r>
      <w:r w:rsidRPr="000E7F71">
        <w:rPr>
          <w:color w:val="000000"/>
        </w:rPr>
        <w:t xml:space="preserve">, основной причиной которой считается возникновение “драйверных” мутаций, представляющих собой замены C на T в кодирующей цепи промотора </w:t>
      </w:r>
      <w:r w:rsidRPr="000E7F71">
        <w:rPr>
          <w:i/>
          <w:iCs/>
          <w:color w:val="000000"/>
        </w:rPr>
        <w:t>TERT</w:t>
      </w:r>
      <w:r w:rsidRPr="000E7F71">
        <w:rPr>
          <w:color w:val="000000"/>
        </w:rPr>
        <w:t xml:space="preserve"> в положениях 228, 250 и 242+243 в V хромосоме. Этот участок </w:t>
      </w:r>
      <w:r w:rsidRPr="000E7F71">
        <w:rPr>
          <w:i/>
          <w:iCs/>
          <w:color w:val="000000"/>
        </w:rPr>
        <w:t>TERT</w:t>
      </w:r>
      <w:r w:rsidRPr="000E7F71">
        <w:rPr>
          <w:color w:val="000000"/>
        </w:rPr>
        <w:t xml:space="preserve"> промотора содержит GC-богатую область, потенциально способную к формированию G-</w:t>
      </w:r>
      <w:proofErr w:type="spellStart"/>
      <w:r w:rsidRPr="000E7F71">
        <w:rPr>
          <w:color w:val="000000"/>
        </w:rPr>
        <w:t>квадруплексных</w:t>
      </w:r>
      <w:proofErr w:type="spellEnd"/>
      <w:r w:rsidRPr="000E7F71">
        <w:rPr>
          <w:color w:val="000000"/>
        </w:rPr>
        <w:t xml:space="preserve"> структур в определенных условиях. Наша гипотеза заключается в том, что закрепление “драйверных” мутаций при онкологии связано со сниженной эффективностью работы системы репарации “</w:t>
      </w:r>
      <w:proofErr w:type="spellStart"/>
      <w:r w:rsidRPr="000E7F71">
        <w:rPr>
          <w:color w:val="000000"/>
        </w:rPr>
        <w:t>мисматчей</w:t>
      </w:r>
      <w:proofErr w:type="spellEnd"/>
      <w:r w:rsidRPr="000E7F71">
        <w:rPr>
          <w:color w:val="000000"/>
        </w:rPr>
        <w:t xml:space="preserve">”, образованных в ходе замены C&gt;T в GC-богатой области </w:t>
      </w:r>
      <w:r w:rsidRPr="000E7F71">
        <w:rPr>
          <w:i/>
          <w:iCs/>
          <w:color w:val="000000"/>
        </w:rPr>
        <w:t>TERT</w:t>
      </w:r>
      <w:r w:rsidRPr="000E7F71">
        <w:rPr>
          <w:color w:val="000000"/>
        </w:rPr>
        <w:t xml:space="preserve"> промотора. </w:t>
      </w:r>
    </w:p>
    <w:p w:rsidR="000E7F71" w:rsidRPr="000E7F71" w:rsidRDefault="000E7F71" w:rsidP="00C3375D">
      <w:pPr>
        <w:ind w:firstLine="397"/>
        <w:jc w:val="both"/>
      </w:pPr>
      <w:r w:rsidRPr="000E7F71">
        <w:rPr>
          <w:color w:val="000000"/>
        </w:rPr>
        <w:t xml:space="preserve">Проанализировано связывание белка MutS с 96-звенными синтетическими фрагментами ДНК различного GC состава, содержащими и не содержащими G/T пару. </w:t>
      </w:r>
      <w:proofErr w:type="spellStart"/>
      <w:r w:rsidRPr="000E7F71">
        <w:rPr>
          <w:color w:val="000000"/>
        </w:rPr>
        <w:t>MutS</w:t>
      </w:r>
      <w:proofErr w:type="spellEnd"/>
      <w:r w:rsidRPr="000E7F71">
        <w:rPr>
          <w:color w:val="000000"/>
        </w:rPr>
        <w:t xml:space="preserve"> эффективно связывает “</w:t>
      </w:r>
      <w:proofErr w:type="spellStart"/>
      <w:r w:rsidRPr="000E7F71">
        <w:rPr>
          <w:color w:val="000000"/>
        </w:rPr>
        <w:t>мисматч</w:t>
      </w:r>
      <w:proofErr w:type="spellEnd"/>
      <w:proofErr w:type="gramStart"/>
      <w:r w:rsidRPr="000E7F71">
        <w:rPr>
          <w:color w:val="000000"/>
        </w:rPr>
        <w:t>”-</w:t>
      </w:r>
      <w:proofErr w:type="gramEnd"/>
      <w:r w:rsidRPr="000E7F71">
        <w:rPr>
          <w:color w:val="000000"/>
        </w:rPr>
        <w:t>содержащую ДНК, также как и ДНК с 82</w:t>
      </w:r>
      <w:r w:rsidR="00C3375D">
        <w:rPr>
          <w:color w:val="000000"/>
        </w:rPr>
        <w:t> </w:t>
      </w:r>
      <w:r w:rsidRPr="000E7F71">
        <w:rPr>
          <w:color w:val="000000"/>
        </w:rPr>
        <w:t xml:space="preserve">% GC-составом без G/T пары; константы связывания в среднем составили около 100 ± 10 </w:t>
      </w:r>
      <w:proofErr w:type="spellStart"/>
      <w:r w:rsidRPr="000E7F71">
        <w:rPr>
          <w:color w:val="000000"/>
        </w:rPr>
        <w:t>нМ</w:t>
      </w:r>
      <w:proofErr w:type="spellEnd"/>
      <w:r w:rsidRPr="000E7F71">
        <w:rPr>
          <w:color w:val="000000"/>
        </w:rPr>
        <w:t xml:space="preserve">. Сродство к контрольному субстрату </w:t>
      </w:r>
      <w:proofErr w:type="spellStart"/>
      <w:r w:rsidRPr="000E7F71">
        <w:rPr>
          <w:color w:val="000000"/>
        </w:rPr>
        <w:t>рандомной</w:t>
      </w:r>
      <w:proofErr w:type="spellEnd"/>
      <w:r w:rsidRPr="000E7F71">
        <w:rPr>
          <w:color w:val="000000"/>
        </w:rPr>
        <w:t xml:space="preserve"> последовательности без G/T пары с 53% GC-составом было снижено, константа связывания составила 245 ± 19 </w:t>
      </w:r>
      <w:proofErr w:type="spellStart"/>
      <w:r w:rsidRPr="000E7F71">
        <w:rPr>
          <w:color w:val="000000"/>
        </w:rPr>
        <w:t>нМ</w:t>
      </w:r>
      <w:proofErr w:type="spellEnd"/>
      <w:r w:rsidRPr="000E7F71">
        <w:rPr>
          <w:color w:val="000000"/>
        </w:rPr>
        <w:t>. </w:t>
      </w:r>
    </w:p>
    <w:p w:rsidR="000E7F71" w:rsidRPr="000E7F71" w:rsidRDefault="000E7F71" w:rsidP="00C3375D">
      <w:pPr>
        <w:ind w:firstLine="397"/>
        <w:jc w:val="both"/>
      </w:pPr>
      <w:r w:rsidRPr="000E7F71">
        <w:rPr>
          <w:color w:val="000000"/>
        </w:rPr>
        <w:t xml:space="preserve">Эффективность гидролиза модельных ДНК, содержащих GC-богатую область  </w:t>
      </w:r>
      <w:r w:rsidRPr="000E7F71">
        <w:rPr>
          <w:i/>
          <w:iCs/>
          <w:color w:val="000000"/>
        </w:rPr>
        <w:t>TERT</w:t>
      </w:r>
      <w:r w:rsidRPr="000E7F71">
        <w:rPr>
          <w:color w:val="000000"/>
        </w:rPr>
        <w:t>-промотора, комплексом белков MutS-MutL оказалась на 10-30</w:t>
      </w:r>
      <w:r w:rsidR="00C3375D">
        <w:rPr>
          <w:color w:val="000000"/>
        </w:rPr>
        <w:t> </w:t>
      </w:r>
      <w:r w:rsidRPr="000E7F71">
        <w:rPr>
          <w:color w:val="000000"/>
        </w:rPr>
        <w:t>% выше по сравнению с ДНК с 53</w:t>
      </w:r>
      <w:r w:rsidR="00C3375D">
        <w:rPr>
          <w:color w:val="000000"/>
        </w:rPr>
        <w:t> </w:t>
      </w:r>
      <w:r w:rsidRPr="000E7F71">
        <w:rPr>
          <w:color w:val="000000"/>
        </w:rPr>
        <w:t>% GC составом. Тем не менее, наличие “</w:t>
      </w:r>
      <w:proofErr w:type="spellStart"/>
      <w:r w:rsidRPr="000E7F71">
        <w:rPr>
          <w:color w:val="000000"/>
        </w:rPr>
        <w:t>мисматча</w:t>
      </w:r>
      <w:proofErr w:type="spellEnd"/>
      <w:r w:rsidRPr="000E7F71">
        <w:rPr>
          <w:color w:val="000000"/>
        </w:rPr>
        <w:t>” значительно не повлияло на способность комплекса вносить разрыв. </w:t>
      </w:r>
    </w:p>
    <w:p w:rsidR="000E7F71" w:rsidRPr="000E7F71" w:rsidRDefault="000E7F71" w:rsidP="00C3375D">
      <w:pPr>
        <w:ind w:firstLine="397"/>
        <w:jc w:val="both"/>
      </w:pPr>
      <w:r w:rsidRPr="000E7F71">
        <w:rPr>
          <w:color w:val="000000"/>
        </w:rPr>
        <w:t xml:space="preserve">Таким образом, MutS и MutL эффективно функционируют на GC-богатой последовательности </w:t>
      </w:r>
      <w:r w:rsidRPr="000E7F71">
        <w:rPr>
          <w:i/>
          <w:iCs/>
          <w:color w:val="000000"/>
        </w:rPr>
        <w:t>TERT</w:t>
      </w:r>
      <w:r w:rsidRPr="000E7F71">
        <w:rPr>
          <w:color w:val="000000"/>
        </w:rPr>
        <w:t xml:space="preserve">-промотора, однако повышенное сродство может мешать дискриминации G/Т пары внутри нее. Ранее было показано, что MutS и MutL в несколько раз эффективнее связываются с 96-звенным </w:t>
      </w:r>
      <w:proofErr w:type="spellStart"/>
      <w:r w:rsidRPr="000E7F71">
        <w:rPr>
          <w:color w:val="000000"/>
        </w:rPr>
        <w:t>одноцепочечным</w:t>
      </w:r>
      <w:proofErr w:type="spellEnd"/>
      <w:r w:rsidRPr="000E7F71">
        <w:rPr>
          <w:color w:val="000000"/>
        </w:rPr>
        <w:t xml:space="preserve"> фрагментом </w:t>
      </w:r>
      <w:r w:rsidRPr="000E7F71">
        <w:rPr>
          <w:i/>
          <w:iCs/>
          <w:color w:val="000000"/>
        </w:rPr>
        <w:t>TERT</w:t>
      </w:r>
      <w:r w:rsidRPr="000E7F71">
        <w:rPr>
          <w:color w:val="000000"/>
        </w:rPr>
        <w:t>-промотора, формирующим 3 тандемных параллельных G-квадруплекса [1]. Вероятно,  вторичная структура может выступать “ловушкой” для белков MMR, что также говорит о еще не изученных функциях MutS и MutL в подобных областях.</w:t>
      </w:r>
    </w:p>
    <w:p w:rsidR="00913891" w:rsidRPr="00A37233" w:rsidRDefault="00913891" w:rsidP="000329A1">
      <w:pPr>
        <w:shd w:val="clear" w:color="auto" w:fill="FFFFFF"/>
        <w:ind w:firstLine="397"/>
        <w:jc w:val="both"/>
        <w:rPr>
          <w:i/>
        </w:rPr>
      </w:pPr>
      <w:r w:rsidRPr="00913891">
        <w:rPr>
          <w:i/>
        </w:rPr>
        <w:t>Исследование выполнено в рамках государственного задания МГУ имени М.В. Ломоносова, регистрационный номер</w:t>
      </w:r>
      <w:r w:rsidRPr="00913891">
        <w:t xml:space="preserve"> </w:t>
      </w:r>
      <w:r w:rsidRPr="00913891">
        <w:rPr>
          <w:i/>
        </w:rPr>
        <w:t>124030100060-7</w:t>
      </w:r>
      <w:r>
        <w:rPr>
          <w:i/>
        </w:rPr>
        <w:t xml:space="preserve">. </w:t>
      </w:r>
    </w:p>
    <w:p w:rsidR="000E7F71" w:rsidRPr="00A37233" w:rsidRDefault="000E7F71" w:rsidP="000E7F71">
      <w:pPr>
        <w:shd w:val="clear" w:color="auto" w:fill="FFFFFF"/>
        <w:ind w:firstLine="400"/>
        <w:jc w:val="center"/>
        <w:rPr>
          <w:lang w:val="en-US"/>
        </w:rPr>
      </w:pPr>
      <w:r w:rsidRPr="000E7F71">
        <w:rPr>
          <w:b/>
          <w:bCs/>
          <w:color w:val="000000"/>
        </w:rPr>
        <w:t>Литература</w:t>
      </w:r>
    </w:p>
    <w:p w:rsidR="00964D99" w:rsidRPr="00A37233" w:rsidRDefault="00A37233" w:rsidP="000329A1">
      <w:pPr>
        <w:jc w:val="both"/>
        <w:rPr>
          <w:lang w:val="en-US"/>
        </w:rPr>
      </w:pPr>
      <w:r w:rsidRPr="00A37233">
        <w:rPr>
          <w:color w:val="000000"/>
          <w:lang w:val="en-US"/>
        </w:rPr>
        <w:t>1</w:t>
      </w:r>
      <w:r>
        <w:rPr>
          <w:color w:val="000000"/>
          <w:lang w:val="en-US"/>
        </w:rPr>
        <w:t xml:space="preserve">. </w:t>
      </w:r>
      <w:r w:rsidRPr="00A37233">
        <w:rPr>
          <w:color w:val="000000"/>
          <w:lang w:val="en-US"/>
        </w:rPr>
        <w:t xml:space="preserve">Pavlova A.V., </w:t>
      </w:r>
      <w:proofErr w:type="spellStart"/>
      <w:r w:rsidRPr="00A37233">
        <w:rPr>
          <w:color w:val="000000"/>
          <w:lang w:val="en-US"/>
        </w:rPr>
        <w:t>Savitskaya</w:t>
      </w:r>
      <w:proofErr w:type="spellEnd"/>
      <w:r w:rsidRPr="00A37233">
        <w:rPr>
          <w:color w:val="000000"/>
          <w:lang w:val="en-US"/>
        </w:rPr>
        <w:t xml:space="preserve"> V.Y., </w:t>
      </w:r>
      <w:proofErr w:type="spellStart"/>
      <w:r w:rsidRPr="00A37233">
        <w:rPr>
          <w:color w:val="000000"/>
          <w:lang w:val="en-US"/>
        </w:rPr>
        <w:t>Dolinnaya</w:t>
      </w:r>
      <w:proofErr w:type="spellEnd"/>
      <w:r w:rsidRPr="00A37233">
        <w:rPr>
          <w:color w:val="000000"/>
          <w:lang w:val="en-US"/>
        </w:rPr>
        <w:t xml:space="preserve"> N.G., </w:t>
      </w:r>
      <w:proofErr w:type="spellStart"/>
      <w:r w:rsidRPr="00A37233">
        <w:rPr>
          <w:color w:val="000000"/>
          <w:lang w:val="en-US"/>
        </w:rPr>
        <w:t>Monakhova</w:t>
      </w:r>
      <w:proofErr w:type="spellEnd"/>
      <w:r w:rsidRPr="00A37233">
        <w:rPr>
          <w:color w:val="000000"/>
          <w:lang w:val="en-US"/>
        </w:rPr>
        <w:t xml:space="preserve"> M.V., </w:t>
      </w:r>
      <w:proofErr w:type="spellStart"/>
      <w:r w:rsidRPr="00A37233">
        <w:rPr>
          <w:color w:val="000000"/>
          <w:lang w:val="en-US"/>
        </w:rPr>
        <w:t>Litvinova</w:t>
      </w:r>
      <w:proofErr w:type="spellEnd"/>
      <w:r w:rsidRPr="00A37233">
        <w:rPr>
          <w:color w:val="000000"/>
          <w:lang w:val="en-US"/>
        </w:rPr>
        <w:t xml:space="preserve"> A.V., </w:t>
      </w:r>
      <w:proofErr w:type="spellStart"/>
      <w:r w:rsidRPr="00A37233">
        <w:rPr>
          <w:color w:val="000000"/>
          <w:lang w:val="en-US"/>
        </w:rPr>
        <w:t>Kubareva</w:t>
      </w:r>
      <w:proofErr w:type="spellEnd"/>
      <w:r w:rsidRPr="00A37233">
        <w:rPr>
          <w:color w:val="000000"/>
          <w:lang w:val="en-US"/>
        </w:rPr>
        <w:t xml:space="preserve"> E.A., </w:t>
      </w:r>
      <w:proofErr w:type="spellStart"/>
      <w:r w:rsidRPr="00A37233">
        <w:rPr>
          <w:color w:val="000000"/>
          <w:lang w:val="en-US"/>
        </w:rPr>
        <w:t>Zvereva</w:t>
      </w:r>
      <w:proofErr w:type="spellEnd"/>
      <w:r w:rsidRPr="00A37233">
        <w:rPr>
          <w:color w:val="000000"/>
          <w:lang w:val="en-US"/>
        </w:rPr>
        <w:t xml:space="preserve"> M.I. G-</w:t>
      </w:r>
      <w:proofErr w:type="spellStart"/>
      <w:r w:rsidRPr="00A37233">
        <w:rPr>
          <w:color w:val="000000"/>
          <w:lang w:val="en-US"/>
        </w:rPr>
        <w:t>Quadruplex</w:t>
      </w:r>
      <w:proofErr w:type="spellEnd"/>
      <w:r w:rsidRPr="00A37233">
        <w:rPr>
          <w:color w:val="000000"/>
          <w:lang w:val="en-US"/>
        </w:rPr>
        <w:t xml:space="preserve"> Formed by the Promoter Region of the hTERT Gene: Structure-Driven Effects on DNA Mismatch Repair Functions // Biomedicines. 2022. Vol. 10</w:t>
      </w:r>
      <w:r>
        <w:rPr>
          <w:color w:val="000000"/>
          <w:lang w:val="en-US"/>
        </w:rPr>
        <w:t>(8)</w:t>
      </w:r>
      <w:r w:rsidRPr="00A37233">
        <w:rPr>
          <w:color w:val="000000"/>
          <w:lang w:val="en-US"/>
        </w:rPr>
        <w:t>. Art. 1871.</w:t>
      </w:r>
    </w:p>
    <w:sectPr w:rsidR="00964D99" w:rsidRPr="00A37233" w:rsidSect="00C3375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B49E4"/>
    <w:multiLevelType w:val="multilevel"/>
    <w:tmpl w:val="E7CAD746"/>
    <w:lvl w:ilvl="0">
      <w:start w:val="1"/>
      <w:numFmt w:val="decimal"/>
      <w:lvlText w:val="%1."/>
      <w:lvlJc w:val="left"/>
      <w:pPr>
        <w:tabs>
          <w:tab w:val="num" w:pos="6"/>
        </w:tabs>
        <w:ind w:left="6" w:hanging="360"/>
      </w:pPr>
    </w:lvl>
    <w:lvl w:ilvl="1" w:tentative="1">
      <w:start w:val="1"/>
      <w:numFmt w:val="decimal"/>
      <w:lvlText w:val="%2."/>
      <w:lvlJc w:val="left"/>
      <w:pPr>
        <w:tabs>
          <w:tab w:val="num" w:pos="726"/>
        </w:tabs>
        <w:ind w:left="726" w:hanging="360"/>
      </w:pPr>
    </w:lvl>
    <w:lvl w:ilvl="2" w:tentative="1">
      <w:start w:val="1"/>
      <w:numFmt w:val="decimal"/>
      <w:lvlText w:val="%3."/>
      <w:lvlJc w:val="left"/>
      <w:pPr>
        <w:tabs>
          <w:tab w:val="num" w:pos="1446"/>
        </w:tabs>
        <w:ind w:left="1446" w:hanging="360"/>
      </w:pPr>
    </w:lvl>
    <w:lvl w:ilvl="3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entative="1">
      <w:start w:val="1"/>
      <w:numFmt w:val="decimal"/>
      <w:lvlText w:val="%5."/>
      <w:lvlJc w:val="left"/>
      <w:pPr>
        <w:tabs>
          <w:tab w:val="num" w:pos="2886"/>
        </w:tabs>
        <w:ind w:left="2886" w:hanging="360"/>
      </w:pPr>
    </w:lvl>
    <w:lvl w:ilvl="5" w:tentative="1">
      <w:start w:val="1"/>
      <w:numFmt w:val="decimal"/>
      <w:lvlText w:val="%6."/>
      <w:lvlJc w:val="left"/>
      <w:pPr>
        <w:tabs>
          <w:tab w:val="num" w:pos="3606"/>
        </w:tabs>
        <w:ind w:left="3606" w:hanging="360"/>
      </w:pPr>
    </w:lvl>
    <w:lvl w:ilvl="6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entative="1">
      <w:start w:val="1"/>
      <w:numFmt w:val="decimal"/>
      <w:lvlText w:val="%8."/>
      <w:lvlJc w:val="left"/>
      <w:pPr>
        <w:tabs>
          <w:tab w:val="num" w:pos="5046"/>
        </w:tabs>
        <w:ind w:left="5046" w:hanging="360"/>
      </w:pPr>
    </w:lvl>
    <w:lvl w:ilvl="8" w:tentative="1">
      <w:start w:val="1"/>
      <w:numFmt w:val="decimal"/>
      <w:lvlText w:val="%9."/>
      <w:lvlJc w:val="left"/>
      <w:pPr>
        <w:tabs>
          <w:tab w:val="num" w:pos="5766"/>
        </w:tabs>
        <w:ind w:left="576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6A8"/>
    <w:rsid w:val="000329A1"/>
    <w:rsid w:val="000E7F71"/>
    <w:rsid w:val="001F7AFF"/>
    <w:rsid w:val="00304DD8"/>
    <w:rsid w:val="00364C31"/>
    <w:rsid w:val="003D512E"/>
    <w:rsid w:val="004E28F6"/>
    <w:rsid w:val="0068660E"/>
    <w:rsid w:val="006F189C"/>
    <w:rsid w:val="007E5DF7"/>
    <w:rsid w:val="00861072"/>
    <w:rsid w:val="00913891"/>
    <w:rsid w:val="00946025"/>
    <w:rsid w:val="00964D99"/>
    <w:rsid w:val="00992829"/>
    <w:rsid w:val="009C3356"/>
    <w:rsid w:val="00A37233"/>
    <w:rsid w:val="00A46A6B"/>
    <w:rsid w:val="00B94011"/>
    <w:rsid w:val="00BB3954"/>
    <w:rsid w:val="00C3375D"/>
    <w:rsid w:val="00C648E2"/>
    <w:rsid w:val="00D15A65"/>
    <w:rsid w:val="00DA1286"/>
    <w:rsid w:val="00F82857"/>
    <w:rsid w:val="00F9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6A8"/>
    <w:rPr>
      <w:color w:val="0563C1" w:themeColor="hyperlink"/>
      <w:u w:val="single"/>
    </w:rPr>
  </w:style>
  <w:style w:type="character" w:customStyle="1" w:styleId="listpersonauthortext-sc-qsm4fa-5">
    <w:name w:val="listperson__authortext-sc-qsm4fa-5"/>
    <w:basedOn w:val="a0"/>
    <w:rsid w:val="00F946A8"/>
  </w:style>
  <w:style w:type="character" w:customStyle="1" w:styleId="listpersonetal-sc-qsm4fa-4">
    <w:name w:val="listperson__etal-sc-qsm4fa-4"/>
    <w:basedOn w:val="a0"/>
    <w:rsid w:val="00F946A8"/>
  </w:style>
  <w:style w:type="character" w:styleId="a4">
    <w:name w:val="Emphasis"/>
    <w:basedOn w:val="a0"/>
    <w:uiPriority w:val="20"/>
    <w:qFormat/>
    <w:rsid w:val="00F946A8"/>
    <w:rPr>
      <w:i/>
      <w:iCs/>
    </w:rPr>
  </w:style>
  <w:style w:type="character" w:customStyle="1" w:styleId="message-time">
    <w:name w:val="message-time"/>
    <w:basedOn w:val="a0"/>
    <w:rsid w:val="00861072"/>
  </w:style>
  <w:style w:type="paragraph" w:styleId="a5">
    <w:name w:val="Normal (Web)"/>
    <w:basedOn w:val="a"/>
    <w:uiPriority w:val="99"/>
    <w:semiHidden/>
    <w:unhideWhenUsed/>
    <w:rsid w:val="007E5DF7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A372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6A8"/>
    <w:rPr>
      <w:color w:val="0563C1" w:themeColor="hyperlink"/>
      <w:u w:val="single"/>
    </w:rPr>
  </w:style>
  <w:style w:type="character" w:customStyle="1" w:styleId="listpersonauthortext-sc-qsm4fa-5">
    <w:name w:val="listperson__authortext-sc-qsm4fa-5"/>
    <w:basedOn w:val="a0"/>
    <w:rsid w:val="00F946A8"/>
  </w:style>
  <w:style w:type="character" w:customStyle="1" w:styleId="listpersonetal-sc-qsm4fa-4">
    <w:name w:val="listperson__etal-sc-qsm4fa-4"/>
    <w:basedOn w:val="a0"/>
    <w:rsid w:val="00F946A8"/>
  </w:style>
  <w:style w:type="character" w:styleId="a4">
    <w:name w:val="Emphasis"/>
    <w:basedOn w:val="a0"/>
    <w:uiPriority w:val="20"/>
    <w:qFormat/>
    <w:rsid w:val="00F946A8"/>
    <w:rPr>
      <w:i/>
      <w:iCs/>
    </w:rPr>
  </w:style>
  <w:style w:type="character" w:customStyle="1" w:styleId="message-time">
    <w:name w:val="message-time"/>
    <w:basedOn w:val="a0"/>
    <w:rsid w:val="00861072"/>
  </w:style>
  <w:style w:type="paragraph" w:styleId="a5">
    <w:name w:val="Normal (Web)"/>
    <w:basedOn w:val="a"/>
    <w:uiPriority w:val="99"/>
    <w:semiHidden/>
    <w:unhideWhenUsed/>
    <w:rsid w:val="007E5DF7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A37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9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Marie</cp:lastModifiedBy>
  <cp:revision>10</cp:revision>
  <dcterms:created xsi:type="dcterms:W3CDTF">2025-03-20T08:45:00Z</dcterms:created>
  <dcterms:modified xsi:type="dcterms:W3CDTF">2025-03-20T12:55:00Z</dcterms:modified>
</cp:coreProperties>
</file>