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4E63" w14:textId="246DA59D" w:rsidR="004A5010" w:rsidRDefault="004A5010" w:rsidP="004A5010">
      <w:pPr>
        <w:widowControl w:val="0"/>
        <w:jc w:val="center"/>
        <w:rPr>
          <w:b/>
        </w:rPr>
      </w:pPr>
      <w:r>
        <w:rPr>
          <w:b/>
        </w:rPr>
        <w:t xml:space="preserve">Полиметилсилсесквиоксановые </w:t>
      </w:r>
      <w:proofErr w:type="spellStart"/>
      <w:r>
        <w:rPr>
          <w:b/>
        </w:rPr>
        <w:t>гидрогели</w:t>
      </w:r>
      <w:proofErr w:type="spellEnd"/>
      <w:r>
        <w:rPr>
          <w:b/>
        </w:rPr>
        <w:t xml:space="preserve"> с введенными </w:t>
      </w:r>
      <w:r w:rsidRPr="00B80860">
        <w:rPr>
          <w:b/>
        </w:rPr>
        <w:t>ами</w:t>
      </w:r>
      <w:r w:rsidR="00852E36" w:rsidRPr="00B80860">
        <w:rPr>
          <w:b/>
        </w:rPr>
        <w:t>н</w:t>
      </w:r>
      <w:r w:rsidRPr="00B80860">
        <w:rPr>
          <w:b/>
        </w:rPr>
        <w:t xml:space="preserve">огруппами </w:t>
      </w:r>
      <w:r w:rsidR="00B80860" w:rsidRPr="00B80860">
        <w:rPr>
          <w:b/>
          <w:color w:val="000000"/>
        </w:rPr>
        <w:t>—</w:t>
      </w:r>
      <w:r>
        <w:rPr>
          <w:b/>
        </w:rPr>
        <w:t xml:space="preserve"> перспективные носители для противоанемических препаратов железа</w:t>
      </w:r>
    </w:p>
    <w:p w14:paraId="2FF766FE" w14:textId="774857B2" w:rsidR="004A5010" w:rsidRPr="009B7E72" w:rsidRDefault="004A5010" w:rsidP="004A5010">
      <w:pPr>
        <w:widowControl w:val="0"/>
        <w:jc w:val="center"/>
        <w:rPr>
          <w:b/>
          <w:i/>
          <w:iCs/>
        </w:rPr>
      </w:pPr>
      <w:r w:rsidRPr="009B7E72">
        <w:rPr>
          <w:b/>
          <w:i/>
          <w:iCs/>
        </w:rPr>
        <w:t>Шариков С.В</w:t>
      </w:r>
      <w:r w:rsidR="00832D64" w:rsidRPr="009B7E72">
        <w:rPr>
          <w:b/>
          <w:i/>
          <w:iCs/>
        </w:rPr>
        <w:t>.</w:t>
      </w:r>
      <w:r w:rsidRPr="009B7E72">
        <w:rPr>
          <w:b/>
          <w:i/>
          <w:iCs/>
        </w:rPr>
        <w:t>, Фролов В.В</w:t>
      </w:r>
      <w:r w:rsidR="00207DB1" w:rsidRPr="009B7E72">
        <w:rPr>
          <w:b/>
          <w:i/>
          <w:iCs/>
        </w:rPr>
        <w:t>.</w:t>
      </w:r>
      <w:r w:rsidRPr="009B7E72">
        <w:rPr>
          <w:b/>
          <w:i/>
          <w:iCs/>
        </w:rPr>
        <w:t>, Орлова П.Д.</w:t>
      </w:r>
      <w:r w:rsidR="006C30E7" w:rsidRPr="009B7E72">
        <w:rPr>
          <w:b/>
          <w:i/>
          <w:iCs/>
        </w:rPr>
        <w:t>, Скуредина А.А., Ле-Дейген И.М.</w:t>
      </w:r>
    </w:p>
    <w:p w14:paraId="3E88E4B1" w14:textId="108112C8" w:rsidR="0099750D" w:rsidRPr="00207DB1" w:rsidRDefault="00EB1F49" w:rsidP="00207D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1797D6D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A5A835C" w:rsidR="00130241" w:rsidRPr="00852E3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B037DD">
        <w:rPr>
          <w:i/>
          <w:color w:val="000000"/>
        </w:rPr>
        <w:t xml:space="preserve"> </w:t>
      </w:r>
      <w:proofErr w:type="spellStart"/>
      <w:r w:rsidR="00852E36" w:rsidRPr="0002583B">
        <w:rPr>
          <w:i/>
          <w:color w:val="000000"/>
          <w:u w:val="single"/>
          <w:lang w:val="en-US"/>
        </w:rPr>
        <w:t>ssharikov</w:t>
      </w:r>
      <w:proofErr w:type="spellEnd"/>
      <w:r w:rsidR="00852E36" w:rsidRPr="0002583B">
        <w:rPr>
          <w:i/>
          <w:color w:val="000000"/>
          <w:u w:val="single"/>
        </w:rPr>
        <w:t>11@</w:t>
      </w:r>
      <w:proofErr w:type="spellStart"/>
      <w:r w:rsidR="00852E36" w:rsidRPr="0002583B">
        <w:rPr>
          <w:i/>
          <w:color w:val="000000"/>
          <w:u w:val="single"/>
          <w:lang w:val="en-US"/>
        </w:rPr>
        <w:t>yandex</w:t>
      </w:r>
      <w:proofErr w:type="spellEnd"/>
      <w:r w:rsidR="00852E36" w:rsidRPr="0002583B">
        <w:rPr>
          <w:i/>
          <w:color w:val="000000"/>
          <w:u w:val="single"/>
        </w:rPr>
        <w:t>.</w:t>
      </w:r>
      <w:r w:rsidR="00852E36" w:rsidRPr="0002583B">
        <w:rPr>
          <w:i/>
          <w:color w:val="000000"/>
          <w:u w:val="single"/>
          <w:lang w:val="en-US"/>
        </w:rPr>
        <w:t>ru</w:t>
      </w:r>
    </w:p>
    <w:p w14:paraId="6EF42847" w14:textId="7F49B1CF" w:rsidR="00852E36" w:rsidRPr="00832D64" w:rsidRDefault="00852E36" w:rsidP="00832D64">
      <w:pPr>
        <w:widowControl w:val="0"/>
        <w:ind w:firstLine="397"/>
        <w:jc w:val="both"/>
      </w:pPr>
      <w:r>
        <w:t xml:space="preserve">В настоящее время актуальной проблемой является обеспечение оптимального профиля высвобождения активных молекул из систем пероральной доставки лекарств. Остро эта проблема стоит для противоанемических препаратов, представляющих собой в первую очередь соединения железа. При пероральном введении преждевременное высвобождение в желудке приводит к развитию существенных побочных эффектов, связанных с болью, нарушением пищеварения, снижением качества жизни. Системы пероральной доставки соединений железа должны обеспечивать селективное высвобождение соединений железа в кишечнике, где они всасываются в кровоток по специфическому пути. Одним из наиболее перспективных подходов к решению данной проблемы является включение противоанемических препаратов, таких как глюконат, фумарат и пирофосфат железа, в полиметилсилсесквиоксановые (ПМССО) </w:t>
      </w:r>
      <w:proofErr w:type="spellStart"/>
      <w:r>
        <w:t>гидрогели</w:t>
      </w:r>
      <w:proofErr w:type="spellEnd"/>
      <w:r>
        <w:t>. Данные гидрогели образованы биосовместимыми кремнийорганическими полимерами. Их отличает несложный синтез, простота очистки и потенциально высокая сорбционная емкость</w:t>
      </w:r>
      <w:r w:rsidR="00832D64" w:rsidRPr="00832D64">
        <w:t xml:space="preserve"> </w:t>
      </w:r>
      <w:r w:rsidR="00F578A8" w:rsidRPr="00F578A8">
        <w:t>[1]</w:t>
      </w:r>
      <w:r w:rsidR="00832D64" w:rsidRPr="00832D64">
        <w:t>.</w:t>
      </w:r>
      <w:r>
        <w:t xml:space="preserve"> Вариация условий синтеза позволяет вводить в ПМССО-гидрогели нетипичные функциональные группы, например аминогруппы. Известно, что подход, основанный на включении в структуру полимерного носителя аминогрупп, хорошо себя зарекомендовал как с точки зрения увеличения сорбционной емкости, так и с точки зрения улучшения </w:t>
      </w:r>
      <w:proofErr w:type="spellStart"/>
      <w:r>
        <w:t>биофармацевтических</w:t>
      </w:r>
      <w:proofErr w:type="spellEnd"/>
      <w:r>
        <w:t xml:space="preserve"> свойств всей </w:t>
      </w:r>
      <w:proofErr w:type="spellStart"/>
      <w:r>
        <w:t>формуляции</w:t>
      </w:r>
      <w:proofErr w:type="spellEnd"/>
      <w:r w:rsidR="00F578A8" w:rsidRPr="00F578A8">
        <w:t xml:space="preserve"> [2]</w:t>
      </w:r>
      <w:r w:rsidR="00832D64" w:rsidRPr="00832D64">
        <w:t>.</w:t>
      </w:r>
    </w:p>
    <w:p w14:paraId="27BA197D" w14:textId="406FA9C3" w:rsidR="00852E36" w:rsidRPr="00D55666" w:rsidRDefault="00852E36" w:rsidP="00832D64">
      <w:pPr>
        <w:widowControl w:val="0"/>
        <w:ind w:firstLine="397"/>
        <w:jc w:val="both"/>
      </w:pPr>
      <w:r>
        <w:t xml:space="preserve">Целью данной работы являлось установление связи структуры ПМССО-гидрогеля с введенными аминогруппами </w:t>
      </w:r>
      <w:r w:rsidR="00B80860">
        <w:rPr>
          <w:color w:val="000000"/>
        </w:rPr>
        <w:t>—</w:t>
      </w:r>
      <w:r>
        <w:t xml:space="preserve"> сорбционная способность по отношению к соединениям железа на примере хлорида и глюконата железа.</w:t>
      </w:r>
    </w:p>
    <w:p w14:paraId="61CD3018" w14:textId="325833DF" w:rsidR="00852E36" w:rsidRPr="00093F5A" w:rsidRDefault="00852E36" w:rsidP="00832D64">
      <w:pPr>
        <w:widowControl w:val="0"/>
        <w:ind w:firstLine="397"/>
        <w:jc w:val="both"/>
      </w:pPr>
      <w:r>
        <w:t xml:space="preserve">В работе получены </w:t>
      </w:r>
      <w:proofErr w:type="spellStart"/>
      <w:r>
        <w:t>ПМССО-гидрогели</w:t>
      </w:r>
      <w:proofErr w:type="spellEnd"/>
      <w:r w:rsidR="0095335D">
        <w:t xml:space="preserve"> с аминогруппами</w:t>
      </w:r>
      <w:r>
        <w:t xml:space="preserve"> в различных условиях</w:t>
      </w:r>
      <w:r w:rsidR="00DE5AC9">
        <w:t>:</w:t>
      </w:r>
      <w:r w:rsidR="0095335D">
        <w:t xml:space="preserve"> варьировал</w:t>
      </w:r>
      <w:r w:rsidR="00C016F2">
        <w:t>ось</w:t>
      </w:r>
      <w:r w:rsidR="0095335D">
        <w:t xml:space="preserve"> </w:t>
      </w:r>
      <w:r w:rsidR="00C016F2">
        <w:t>количество</w:t>
      </w:r>
      <w:r w:rsidR="0095335D">
        <w:t xml:space="preserve"> </w:t>
      </w:r>
      <w:r w:rsidR="0095335D" w:rsidRPr="0095335D">
        <w:t>3-аминопропилтриэтоксисилана (</w:t>
      </w:r>
      <w:r w:rsidR="0095335D" w:rsidRPr="0095335D">
        <w:rPr>
          <w:lang w:val="en-US"/>
        </w:rPr>
        <w:t>APTES</w:t>
      </w:r>
      <w:r w:rsidR="00C016F2">
        <w:t xml:space="preserve">, </w:t>
      </w:r>
      <w:r w:rsidR="0095335D">
        <w:t>10</w:t>
      </w:r>
      <w:r w:rsidR="00B80860">
        <w:rPr>
          <w:color w:val="000000"/>
        </w:rPr>
        <w:t>–</w:t>
      </w:r>
      <w:r w:rsidR="00C016F2">
        <w:rPr>
          <w:color w:val="000000"/>
        </w:rPr>
        <w:t>30</w:t>
      </w:r>
      <w:r w:rsidR="00C016F2">
        <w:rPr>
          <w:color w:val="000000"/>
          <w:lang w:val="en-US"/>
        </w:rPr>
        <w:t> </w:t>
      </w:r>
      <w:proofErr w:type="spellStart"/>
      <w:r w:rsidR="00C016F2">
        <w:rPr>
          <w:color w:val="000000"/>
        </w:rPr>
        <w:t>мольн</w:t>
      </w:r>
      <w:proofErr w:type="spellEnd"/>
      <w:r w:rsidR="00C016F2">
        <w:rPr>
          <w:color w:val="000000"/>
        </w:rPr>
        <w:t>.</w:t>
      </w:r>
      <w:r w:rsidR="00C016F2">
        <w:rPr>
          <w:color w:val="000000"/>
          <w:lang w:val="en-US"/>
        </w:rPr>
        <w:t> </w:t>
      </w:r>
      <w:r w:rsidR="00C016F2">
        <w:rPr>
          <w:color w:val="000000"/>
        </w:rPr>
        <w:t xml:space="preserve">%), количество </w:t>
      </w:r>
      <w:r w:rsidR="00C016F2">
        <w:rPr>
          <w:color w:val="000000"/>
          <w:lang w:val="en-US"/>
        </w:rPr>
        <w:t>N</w:t>
      </w:r>
      <w:r w:rsidR="00D55666">
        <w:rPr>
          <w:color w:val="000000"/>
          <w:lang w:val="en-US"/>
        </w:rPr>
        <w:t>a</w:t>
      </w:r>
      <w:r w:rsidR="00C016F2">
        <w:rPr>
          <w:color w:val="000000"/>
          <w:lang w:val="en-US"/>
        </w:rPr>
        <w:t>OH</w:t>
      </w:r>
      <w:r w:rsidR="00C016F2">
        <w:rPr>
          <w:color w:val="000000"/>
        </w:rPr>
        <w:t xml:space="preserve"> (0</w:t>
      </w:r>
      <w:r w:rsidR="00B80860">
        <w:rPr>
          <w:color w:val="000000"/>
        </w:rPr>
        <w:t>–</w:t>
      </w:r>
      <w:r w:rsidR="00C016F2">
        <w:rPr>
          <w:color w:val="000000"/>
        </w:rPr>
        <w:t>1</w:t>
      </w:r>
      <w:r w:rsidR="00B80860">
        <w:rPr>
          <w:color w:val="000000"/>
          <w:lang w:val="en-US"/>
        </w:rPr>
        <w:t> </w:t>
      </w:r>
      <w:r w:rsidR="00C016F2">
        <w:rPr>
          <w:color w:val="000000"/>
        </w:rPr>
        <w:t xml:space="preserve">г) и объем </w:t>
      </w:r>
      <w:r w:rsidR="00D55666">
        <w:rPr>
          <w:color w:val="000000"/>
        </w:rPr>
        <w:t>этанола</w:t>
      </w:r>
      <w:r w:rsidR="00C016F2">
        <w:rPr>
          <w:color w:val="000000"/>
        </w:rPr>
        <w:t xml:space="preserve"> (0</w:t>
      </w:r>
      <w:r w:rsidR="00B80860">
        <w:rPr>
          <w:color w:val="000000"/>
        </w:rPr>
        <w:t>–</w:t>
      </w:r>
      <w:r w:rsidR="00C016F2">
        <w:rPr>
          <w:color w:val="000000"/>
        </w:rPr>
        <w:t>21</w:t>
      </w:r>
      <w:r w:rsidR="00B80860">
        <w:rPr>
          <w:color w:val="000000"/>
          <w:lang w:val="en-US"/>
        </w:rPr>
        <w:t> </w:t>
      </w:r>
      <w:r w:rsidR="00C016F2">
        <w:rPr>
          <w:color w:val="000000"/>
        </w:rPr>
        <w:t>мл) в 100</w:t>
      </w:r>
      <w:r w:rsidR="00B80860">
        <w:rPr>
          <w:color w:val="000000"/>
          <w:lang w:val="en-US"/>
        </w:rPr>
        <w:t> </w:t>
      </w:r>
      <w:r w:rsidR="00C016F2">
        <w:rPr>
          <w:color w:val="000000"/>
        </w:rPr>
        <w:t>мл раствора</w:t>
      </w:r>
      <w:r>
        <w:t xml:space="preserve">. По данным БЭТ гели характеризуются узким распределением </w:t>
      </w:r>
      <w:proofErr w:type="spellStart"/>
      <w:r>
        <w:t>мезопор</w:t>
      </w:r>
      <w:proofErr w:type="spellEnd"/>
      <w:r>
        <w:t xml:space="preserve"> по размеру</w:t>
      </w:r>
      <w:r w:rsidR="005264B1">
        <w:t xml:space="preserve"> </w:t>
      </w:r>
      <w:r w:rsidR="00DE5AC9">
        <w:t>(</w:t>
      </w:r>
      <w:r w:rsidR="005264B1">
        <w:t>4</w:t>
      </w:r>
      <w:r w:rsidR="00B80860" w:rsidRPr="00B80860">
        <w:t>.</w:t>
      </w:r>
      <w:r w:rsidR="005264B1">
        <w:t>8</w:t>
      </w:r>
      <w:r w:rsidR="00B80860">
        <w:rPr>
          <w:color w:val="000000"/>
        </w:rPr>
        <w:t>–</w:t>
      </w:r>
      <w:r w:rsidR="005264B1">
        <w:t>11</w:t>
      </w:r>
      <w:r w:rsidR="00B80860" w:rsidRPr="00B80860">
        <w:t>.</w:t>
      </w:r>
      <w:r w:rsidR="005264B1">
        <w:t>3</w:t>
      </w:r>
      <w:r w:rsidR="00B80860">
        <w:rPr>
          <w:color w:val="000000"/>
          <w:lang w:val="en-US"/>
        </w:rPr>
        <w:t> </w:t>
      </w:r>
      <w:r w:rsidR="005264B1">
        <w:t>нм</w:t>
      </w:r>
      <w:r w:rsidR="00DE5AC9">
        <w:t>)</w:t>
      </w:r>
      <w:r>
        <w:t xml:space="preserve"> и </w:t>
      </w:r>
      <w:r w:rsidR="00651D47">
        <w:t>различной</w:t>
      </w:r>
      <w:r>
        <w:t xml:space="preserve"> </w:t>
      </w:r>
      <w:r w:rsidR="00C016F2">
        <w:t xml:space="preserve">удельной </w:t>
      </w:r>
      <w:r>
        <w:t>площадью поверхности</w:t>
      </w:r>
      <w:r w:rsidR="005264B1">
        <w:t xml:space="preserve"> </w:t>
      </w:r>
      <w:r w:rsidR="00DE5AC9">
        <w:t>(</w:t>
      </w:r>
      <w:r w:rsidR="005264B1">
        <w:t>19</w:t>
      </w:r>
      <w:r w:rsidR="00B80860">
        <w:rPr>
          <w:color w:val="000000"/>
        </w:rPr>
        <w:t>–</w:t>
      </w:r>
      <w:r w:rsidR="005264B1">
        <w:t>328</w:t>
      </w:r>
      <w:r w:rsidR="00B80860">
        <w:rPr>
          <w:color w:val="000000"/>
          <w:lang w:val="en-US"/>
        </w:rPr>
        <w:t> </w:t>
      </w:r>
      <w:r w:rsidR="005264B1">
        <w:t>м</w:t>
      </w:r>
      <w:r w:rsidR="005264B1" w:rsidRPr="005264B1">
        <w:rPr>
          <w:vertAlign w:val="superscript"/>
        </w:rPr>
        <w:t>2</w:t>
      </w:r>
      <w:r w:rsidR="005264B1">
        <w:t>/г</w:t>
      </w:r>
      <w:r w:rsidR="00DE5AC9">
        <w:t>)</w:t>
      </w:r>
      <w:r>
        <w:t>. По</w:t>
      </w:r>
      <w:r w:rsidR="00C016F2">
        <w:t xml:space="preserve"> данным</w:t>
      </w:r>
      <w:r>
        <w:t xml:space="preserve"> </w:t>
      </w:r>
      <w:r>
        <w:rPr>
          <w:lang w:val="en-US"/>
        </w:rPr>
        <w:t>UV</w:t>
      </w:r>
      <w:r w:rsidRPr="00093F5A">
        <w:t>-</w:t>
      </w:r>
      <w:r>
        <w:rPr>
          <w:lang w:val="en-US"/>
        </w:rPr>
        <w:t>VIS</w:t>
      </w:r>
      <w:r w:rsidRPr="00093F5A">
        <w:t xml:space="preserve"> </w:t>
      </w:r>
      <w:r>
        <w:t xml:space="preserve">спектроскопии, сорбционная емкость по </w:t>
      </w:r>
      <w:r>
        <w:rPr>
          <w:lang w:val="en-US"/>
        </w:rPr>
        <w:t>D</w:t>
      </w:r>
      <w:r w:rsidRPr="00093F5A">
        <w:t>-</w:t>
      </w:r>
      <w:r>
        <w:t xml:space="preserve">глюконату железа составляет более </w:t>
      </w:r>
      <w:r w:rsidR="00F578A8">
        <w:rPr>
          <w:color w:val="000000"/>
        </w:rPr>
        <w:t>40</w:t>
      </w:r>
      <w:r w:rsidR="00F578A8">
        <w:rPr>
          <w:color w:val="000000"/>
          <w:lang w:val="en-US"/>
        </w:rPr>
        <w:t> </w:t>
      </w:r>
      <w:r w:rsidR="00F578A8">
        <w:rPr>
          <w:color w:val="000000"/>
        </w:rPr>
        <w:t xml:space="preserve">% </w:t>
      </w:r>
      <w:r>
        <w:t>в зависимости от доли введенных аминогрупп</w:t>
      </w:r>
      <w:r w:rsidR="000B52B1">
        <w:t xml:space="preserve"> и достигает максимума для гелей с 30</w:t>
      </w:r>
      <w:r w:rsidR="00C016F2">
        <w:rPr>
          <w:color w:val="000000"/>
          <w:lang w:val="en-US"/>
        </w:rPr>
        <w:t> </w:t>
      </w:r>
      <w:r w:rsidR="00C016F2">
        <w:rPr>
          <w:color w:val="000000"/>
        </w:rPr>
        <w:t>%</w:t>
      </w:r>
      <w:r w:rsidR="000B52B1">
        <w:t xml:space="preserve"> </w:t>
      </w:r>
      <w:r w:rsidR="000B52B1">
        <w:rPr>
          <w:lang w:val="en-US"/>
        </w:rPr>
        <w:t>APTES</w:t>
      </w:r>
      <w:r w:rsidR="000B52B1">
        <w:t xml:space="preserve">. Это подтверждается данными по </w:t>
      </w:r>
      <w:proofErr w:type="spellStart"/>
      <w:r w:rsidR="000B52B1">
        <w:t>сорбционной</w:t>
      </w:r>
      <w:proofErr w:type="spellEnd"/>
      <w:r w:rsidR="000B52B1">
        <w:t xml:space="preserve"> емкости </w:t>
      </w:r>
      <w:proofErr w:type="spellStart"/>
      <w:r w:rsidR="000B52B1">
        <w:t>конго</w:t>
      </w:r>
      <w:proofErr w:type="spellEnd"/>
      <w:r w:rsidR="000B52B1">
        <w:t xml:space="preserve"> красного</w:t>
      </w:r>
      <w:r w:rsidR="00C016F2">
        <w:t>:</w:t>
      </w:r>
      <w:r w:rsidR="000B52B1" w:rsidRPr="000B52B1">
        <w:t xml:space="preserve"> </w:t>
      </w:r>
      <w:r w:rsidR="000B52B1">
        <w:t>для гелей с 10</w:t>
      </w:r>
      <w:r w:rsidR="00C016F2">
        <w:rPr>
          <w:color w:val="000000"/>
          <w:lang w:val="en-US"/>
        </w:rPr>
        <w:t> </w:t>
      </w:r>
      <w:r w:rsidR="00C016F2">
        <w:rPr>
          <w:color w:val="000000"/>
        </w:rPr>
        <w:t>%</w:t>
      </w:r>
      <w:r w:rsidR="000B52B1">
        <w:t xml:space="preserve"> </w:t>
      </w:r>
      <w:r w:rsidR="000B52B1">
        <w:rPr>
          <w:lang w:val="en-US"/>
        </w:rPr>
        <w:t>APTES</w:t>
      </w:r>
      <w:r w:rsidR="000B52B1" w:rsidRPr="000B52B1">
        <w:t xml:space="preserve"> </w:t>
      </w:r>
      <w:proofErr w:type="spellStart"/>
      <w:r w:rsidR="000B52B1">
        <w:t>сорбционная</w:t>
      </w:r>
      <w:proofErr w:type="spellEnd"/>
      <w:r w:rsidR="000B52B1">
        <w:t xml:space="preserve"> емкость составляет ~20</w:t>
      </w:r>
      <w:r w:rsidR="00B80860">
        <w:rPr>
          <w:color w:val="000000"/>
          <w:lang w:val="en-US"/>
        </w:rPr>
        <w:t> </w:t>
      </w:r>
      <w:proofErr w:type="spellStart"/>
      <w:r w:rsidR="000B52B1">
        <w:t>мкмоль</w:t>
      </w:r>
      <w:proofErr w:type="spellEnd"/>
      <w:r w:rsidR="000B52B1">
        <w:t>/г, для 20</w:t>
      </w:r>
      <w:r w:rsidR="00C016F2">
        <w:rPr>
          <w:color w:val="000000"/>
          <w:lang w:val="en-US"/>
        </w:rPr>
        <w:t> </w:t>
      </w:r>
      <w:r w:rsidR="00C016F2">
        <w:rPr>
          <w:color w:val="000000"/>
        </w:rPr>
        <w:t>%</w:t>
      </w:r>
      <w:r w:rsidR="000B52B1">
        <w:t xml:space="preserve"> </w:t>
      </w:r>
      <w:r w:rsidR="000B52B1">
        <w:rPr>
          <w:lang w:val="en-US"/>
        </w:rPr>
        <w:t>APTES</w:t>
      </w:r>
      <w:r w:rsidR="000B52B1">
        <w:t xml:space="preserve"> это ~47</w:t>
      </w:r>
      <w:r w:rsidR="00B80860">
        <w:rPr>
          <w:color w:val="000000"/>
          <w:lang w:val="en-US"/>
        </w:rPr>
        <w:t> </w:t>
      </w:r>
      <w:proofErr w:type="spellStart"/>
      <w:r w:rsidR="000B52B1">
        <w:t>мкмоль</w:t>
      </w:r>
      <w:proofErr w:type="spellEnd"/>
      <w:r w:rsidR="000B52B1">
        <w:t>/г, а для 30</w:t>
      </w:r>
      <w:r w:rsidR="00C016F2">
        <w:rPr>
          <w:color w:val="000000"/>
          <w:lang w:val="en-US"/>
        </w:rPr>
        <w:t> </w:t>
      </w:r>
      <w:r w:rsidR="00C016F2">
        <w:rPr>
          <w:color w:val="000000"/>
        </w:rPr>
        <w:t>%</w:t>
      </w:r>
      <w:r w:rsidR="000B52B1">
        <w:t xml:space="preserve"> это ~85</w:t>
      </w:r>
      <w:r w:rsidR="00B80860">
        <w:rPr>
          <w:color w:val="000000"/>
          <w:lang w:val="en-US"/>
        </w:rPr>
        <w:t> </w:t>
      </w:r>
      <w:proofErr w:type="spellStart"/>
      <w:r w:rsidR="000B52B1">
        <w:t>мкмоль</w:t>
      </w:r>
      <w:proofErr w:type="spellEnd"/>
      <w:r w:rsidR="000B52B1">
        <w:t>/г.</w:t>
      </w:r>
      <w:r w:rsidR="00C016F2">
        <w:t xml:space="preserve"> </w:t>
      </w:r>
      <w:r>
        <w:t xml:space="preserve">Полученные результаты открывают перспективы </w:t>
      </w:r>
      <w:r w:rsidR="0099750D">
        <w:t>создания</w:t>
      </w:r>
      <w:r>
        <w:t xml:space="preserve"> </w:t>
      </w:r>
      <w:proofErr w:type="spellStart"/>
      <w:r>
        <w:t>функционализированных</w:t>
      </w:r>
      <w:proofErr w:type="spellEnd"/>
      <w:r>
        <w:t xml:space="preserve"> </w:t>
      </w:r>
      <w:proofErr w:type="spellStart"/>
      <w:r>
        <w:t>ПМССО-гидрогелей</w:t>
      </w:r>
      <w:proofErr w:type="spellEnd"/>
      <w:r>
        <w:t xml:space="preserve"> как матрицы для систем доставки соединений железа.</w:t>
      </w:r>
      <w:r w:rsidR="0099750D">
        <w:t xml:space="preserve"> </w:t>
      </w:r>
    </w:p>
    <w:p w14:paraId="17BAED80" w14:textId="009E7234" w:rsidR="00852E36" w:rsidRPr="00F578A8" w:rsidRDefault="00852E36" w:rsidP="00832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578A8">
        <w:rPr>
          <w:i/>
          <w:iCs/>
          <w:color w:val="000000"/>
        </w:rPr>
        <w:t>Автор</w:t>
      </w:r>
      <w:r w:rsidR="0099750D">
        <w:rPr>
          <w:i/>
          <w:iCs/>
          <w:color w:val="000000"/>
        </w:rPr>
        <w:t>ы</w:t>
      </w:r>
      <w:r w:rsidRPr="00F578A8">
        <w:rPr>
          <w:i/>
          <w:iCs/>
          <w:color w:val="000000"/>
        </w:rPr>
        <w:t xml:space="preserve"> выража</w:t>
      </w:r>
      <w:r w:rsidR="0099750D">
        <w:rPr>
          <w:i/>
          <w:iCs/>
          <w:color w:val="000000"/>
        </w:rPr>
        <w:t>ю</w:t>
      </w:r>
      <w:r w:rsidRPr="00F578A8">
        <w:rPr>
          <w:i/>
          <w:iCs/>
          <w:color w:val="000000"/>
        </w:rPr>
        <w:t xml:space="preserve">т благодарность к.х.н. </w:t>
      </w:r>
      <w:proofErr w:type="spellStart"/>
      <w:r w:rsidRPr="00F578A8">
        <w:rPr>
          <w:i/>
          <w:iCs/>
          <w:color w:val="000000"/>
        </w:rPr>
        <w:t>зав.лаб</w:t>
      </w:r>
      <w:proofErr w:type="spellEnd"/>
      <w:r w:rsidRPr="00F578A8">
        <w:rPr>
          <w:i/>
          <w:iCs/>
          <w:color w:val="000000"/>
        </w:rPr>
        <w:t>. Калининой А.А. и с.н.с. Мешкову И.Б. (ИСПМ РАН) за помощь в проведении экспериментов по синтезу ПМССО-гидрогелей</w:t>
      </w:r>
      <w:r w:rsidR="00DE1ACF">
        <w:rPr>
          <w:i/>
          <w:iCs/>
          <w:color w:val="000000"/>
        </w:rPr>
        <w:t>. Р</w:t>
      </w:r>
      <w:r w:rsidR="00DE1ACF" w:rsidRPr="00DE1ACF">
        <w:rPr>
          <w:i/>
          <w:iCs/>
          <w:color w:val="000000"/>
        </w:rPr>
        <w:t>абота выполнена при поддержке гранта РНФ 24-73-00091.</w:t>
      </w:r>
      <w:r w:rsidR="00783E66" w:rsidRPr="00783E66">
        <w:rPr>
          <w:i/>
          <w:iCs/>
          <w:color w:val="000000"/>
        </w:rPr>
        <w:t xml:space="preserve"> </w:t>
      </w:r>
      <w:r w:rsidR="00783E66" w:rsidRPr="00772E6D">
        <w:rPr>
          <w:i/>
          <w:iCs/>
          <w:color w:val="000000"/>
        </w:rPr>
        <w:t xml:space="preserve">Оборудование для проведения исследований (ИК-спектрометр </w:t>
      </w:r>
      <w:proofErr w:type="spellStart"/>
      <w:r w:rsidR="00783E66" w:rsidRPr="00772E6D">
        <w:rPr>
          <w:i/>
          <w:iCs/>
          <w:color w:val="000000"/>
        </w:rPr>
        <w:t>Bruker</w:t>
      </w:r>
      <w:proofErr w:type="spellEnd"/>
      <w:r w:rsidR="00783E66" w:rsidRPr="00772E6D">
        <w:rPr>
          <w:i/>
          <w:iCs/>
          <w:color w:val="000000"/>
        </w:rPr>
        <w:t xml:space="preserve"> </w:t>
      </w:r>
      <w:proofErr w:type="spellStart"/>
      <w:r w:rsidR="00783E66" w:rsidRPr="00772E6D">
        <w:rPr>
          <w:i/>
          <w:iCs/>
          <w:color w:val="000000"/>
        </w:rPr>
        <w:t>Tensor</w:t>
      </w:r>
      <w:proofErr w:type="spellEnd"/>
      <w:r w:rsidR="00783E66" w:rsidRPr="00772E6D">
        <w:rPr>
          <w:i/>
          <w:iCs/>
          <w:color w:val="000000"/>
        </w:rPr>
        <w:t xml:space="preserve"> 27) приобретено при поддержке Программы Развития МГУ. </w:t>
      </w:r>
    </w:p>
    <w:p w14:paraId="0000000E" w14:textId="77777777" w:rsidR="00130241" w:rsidRPr="00DE1A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BE48079" w14:textId="6FC86A9B" w:rsidR="00F578A8" w:rsidRDefault="00F578A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832D64">
        <w:rPr>
          <w:noProof/>
          <w:lang w:val="en-US"/>
        </w:rPr>
        <w:t xml:space="preserve">1. </w:t>
      </w:r>
      <w:proofErr w:type="spellStart"/>
      <w:r w:rsidRPr="00F578A8">
        <w:rPr>
          <w:rFonts w:eastAsia="Calibri"/>
          <w:color w:val="000000"/>
          <w:lang w:val="en-US"/>
        </w:rPr>
        <w:t>Meshkov</w:t>
      </w:r>
      <w:proofErr w:type="spellEnd"/>
      <w:r w:rsidRPr="00832D64">
        <w:rPr>
          <w:rFonts w:eastAsia="Calibri"/>
          <w:color w:val="000000"/>
          <w:lang w:val="en-US"/>
        </w:rPr>
        <w:t xml:space="preserve"> </w:t>
      </w:r>
      <w:r w:rsidRPr="00F578A8">
        <w:rPr>
          <w:rFonts w:eastAsia="Calibri"/>
          <w:color w:val="000000"/>
          <w:lang w:val="en-US"/>
        </w:rPr>
        <w:t>I</w:t>
      </w:r>
      <w:r w:rsidRPr="00832D64">
        <w:rPr>
          <w:rFonts w:eastAsia="Calibri"/>
          <w:color w:val="000000"/>
          <w:lang w:val="en-US"/>
        </w:rPr>
        <w:t xml:space="preserve">. </w:t>
      </w:r>
      <w:r w:rsidRPr="00F578A8">
        <w:rPr>
          <w:rFonts w:eastAsia="Calibri"/>
          <w:color w:val="000000"/>
          <w:lang w:val="en-US"/>
        </w:rPr>
        <w:t xml:space="preserve">Iron-Containing </w:t>
      </w:r>
      <w:proofErr w:type="spellStart"/>
      <w:r w:rsidRPr="00F578A8">
        <w:rPr>
          <w:rFonts w:eastAsia="Calibri"/>
          <w:color w:val="000000"/>
          <w:lang w:val="en-US"/>
        </w:rPr>
        <w:t>Polymethylsilsesquioxane</w:t>
      </w:r>
      <w:proofErr w:type="spellEnd"/>
      <w:r w:rsidRPr="00F578A8">
        <w:rPr>
          <w:rFonts w:eastAsia="Calibri"/>
          <w:color w:val="000000"/>
          <w:lang w:val="en-US"/>
        </w:rPr>
        <w:t xml:space="preserve"> Hydrogels as Polymer Bases for sorbents of Hydrogen Sulfide from Environment // INEOS OPEN. 2019. </w:t>
      </w:r>
      <w:r w:rsidRPr="00DE1ACF">
        <w:rPr>
          <w:rFonts w:eastAsia="Calibri"/>
          <w:color w:val="000000"/>
          <w:lang w:val="en-US"/>
        </w:rPr>
        <w:t>Vol. 2. P. 140–144</w:t>
      </w:r>
    </w:p>
    <w:p w14:paraId="45543EC7" w14:textId="4BF93C9F" w:rsidR="001B1D0C" w:rsidRPr="00832D64" w:rsidRDefault="00F578A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Pr="00F578A8">
        <w:rPr>
          <w:noProof/>
          <w:lang w:val="en-US"/>
        </w:rPr>
        <w:t>Orlova P. Amidated and Aminated PMSSO-Hydrogels as a Promising Enzyme-Sensitive Vehicle for Antianemic Drugs: 2 // Gels. Multidisciplinary Digital Publishing Institute, 2025. Vol. 11, № 2. P. 118.</w:t>
      </w:r>
    </w:p>
    <w:sectPr w:rsidR="001B1D0C" w:rsidRPr="00832D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83B"/>
    <w:rsid w:val="00063966"/>
    <w:rsid w:val="00075D6E"/>
    <w:rsid w:val="00076FE4"/>
    <w:rsid w:val="00086081"/>
    <w:rsid w:val="0009449A"/>
    <w:rsid w:val="00094FD0"/>
    <w:rsid w:val="000B52B1"/>
    <w:rsid w:val="000E334E"/>
    <w:rsid w:val="00101A1C"/>
    <w:rsid w:val="00103657"/>
    <w:rsid w:val="00106375"/>
    <w:rsid w:val="00107AA3"/>
    <w:rsid w:val="00116478"/>
    <w:rsid w:val="00130241"/>
    <w:rsid w:val="001B1D0C"/>
    <w:rsid w:val="001E61C2"/>
    <w:rsid w:val="001F0493"/>
    <w:rsid w:val="00207DB1"/>
    <w:rsid w:val="0022260A"/>
    <w:rsid w:val="002264EE"/>
    <w:rsid w:val="0023307C"/>
    <w:rsid w:val="002812FC"/>
    <w:rsid w:val="0031361E"/>
    <w:rsid w:val="00391C38"/>
    <w:rsid w:val="003B76D6"/>
    <w:rsid w:val="003E2601"/>
    <w:rsid w:val="003F4E6B"/>
    <w:rsid w:val="004A26A3"/>
    <w:rsid w:val="004A5010"/>
    <w:rsid w:val="004F0EDF"/>
    <w:rsid w:val="00522BF1"/>
    <w:rsid w:val="005264B1"/>
    <w:rsid w:val="00582881"/>
    <w:rsid w:val="00590166"/>
    <w:rsid w:val="005D022B"/>
    <w:rsid w:val="005E5BE9"/>
    <w:rsid w:val="006335B0"/>
    <w:rsid w:val="00651D47"/>
    <w:rsid w:val="0069427D"/>
    <w:rsid w:val="006C30E7"/>
    <w:rsid w:val="006D445C"/>
    <w:rsid w:val="006F7A19"/>
    <w:rsid w:val="007213E1"/>
    <w:rsid w:val="00775389"/>
    <w:rsid w:val="00783E66"/>
    <w:rsid w:val="00797838"/>
    <w:rsid w:val="007C36D8"/>
    <w:rsid w:val="007F2744"/>
    <w:rsid w:val="00832D64"/>
    <w:rsid w:val="00852E36"/>
    <w:rsid w:val="008931BE"/>
    <w:rsid w:val="008C67E3"/>
    <w:rsid w:val="00914205"/>
    <w:rsid w:val="00921D45"/>
    <w:rsid w:val="009426C0"/>
    <w:rsid w:val="00951AFF"/>
    <w:rsid w:val="0095335D"/>
    <w:rsid w:val="00980A65"/>
    <w:rsid w:val="0099750D"/>
    <w:rsid w:val="009A66DB"/>
    <w:rsid w:val="009B2F80"/>
    <w:rsid w:val="009B3300"/>
    <w:rsid w:val="009B7E72"/>
    <w:rsid w:val="009F3380"/>
    <w:rsid w:val="00A02163"/>
    <w:rsid w:val="00A314FE"/>
    <w:rsid w:val="00AD7380"/>
    <w:rsid w:val="00B037DD"/>
    <w:rsid w:val="00B80860"/>
    <w:rsid w:val="00BF36F8"/>
    <w:rsid w:val="00BF4622"/>
    <w:rsid w:val="00C016F2"/>
    <w:rsid w:val="00C519A2"/>
    <w:rsid w:val="00C809B7"/>
    <w:rsid w:val="00C844E2"/>
    <w:rsid w:val="00CD00B1"/>
    <w:rsid w:val="00D22306"/>
    <w:rsid w:val="00D42542"/>
    <w:rsid w:val="00D55666"/>
    <w:rsid w:val="00D65445"/>
    <w:rsid w:val="00D8121C"/>
    <w:rsid w:val="00DE1ACF"/>
    <w:rsid w:val="00DE5AC9"/>
    <w:rsid w:val="00E22189"/>
    <w:rsid w:val="00E74069"/>
    <w:rsid w:val="00E81D35"/>
    <w:rsid w:val="00EB1F49"/>
    <w:rsid w:val="00F578A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ibliography"/>
    <w:basedOn w:val="a"/>
    <w:next w:val="a"/>
    <w:uiPriority w:val="37"/>
    <w:unhideWhenUsed/>
    <w:rsid w:val="00F578A8"/>
    <w:pPr>
      <w:tabs>
        <w:tab w:val="left" w:pos="260"/>
      </w:tabs>
      <w:ind w:left="264" w:hanging="264"/>
    </w:pPr>
  </w:style>
  <w:style w:type="character" w:styleId="ad">
    <w:name w:val="annotation reference"/>
    <w:basedOn w:val="a0"/>
    <w:uiPriority w:val="99"/>
    <w:semiHidden/>
    <w:unhideWhenUsed/>
    <w:rsid w:val="009975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9750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9750D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75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750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Шариков Сергей</cp:lastModifiedBy>
  <cp:revision>2</cp:revision>
  <dcterms:created xsi:type="dcterms:W3CDTF">2025-03-17T14:33:00Z</dcterms:created>
  <dcterms:modified xsi:type="dcterms:W3CDTF">2025-03-17T14:33:00Z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zotero-version="7.0.9"&gt;&lt;session id="cDOPI8Fl"/&gt;&lt;style id="http://www.zotero.org/styles/gost-r-7-0-5-2008-numeric" hasBibliography="1" bibliographyStyleHasBeenSet="1"/&gt;&lt;prefs&gt;&lt;pref name="fieldType" value="Field"/&gt;&lt;pref name="automati</vt:lpwstr>
  </property>
  <property fmtid="{D5CDD505-2E9C-101B-9397-08002B2CF9AE}" pid="26" name="ZOTERO_PREF_2">
    <vt:lpwstr>cJournalAbbreviations" value="true"/&gt;&lt;/prefs&gt;&lt;/data&gt;</vt:lpwstr>
  </property>
</Properties>
</file>