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Гуммиарабик как перспективный ингибитор коррозионных процессов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Климовицкая М.А.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Казанцева Д.А.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студентка, </w:t>
      </w:r>
      <w:r w:rsidDel="00000000" w:rsidR="00000000" w:rsidRPr="00000000">
        <w:rPr>
          <w:i w:val="1"/>
          <w:rtl w:val="0"/>
        </w:rPr>
        <w:t xml:space="preserve">4 курс специалитета, Химический институт им. А.М. Бутлерова, Казанский федеральный университет, Казань, Россия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Лаборант-исследователь,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Казанский институт биохимии и биофизики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ФИЦ КазНЦ РАН, Казань, Россия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i w:val="1"/>
          <w:color w:val="000000"/>
          <w:rtl w:val="0"/>
        </w:rPr>
        <w:t xml:space="preserve">МАОУ «Лицей № 131», Казань, Россия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mklimovitskaya@mail.ru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Металлические объекты нефтегазовой промышленности подвергаются сильной коррозии при добыче, транспортировке, хранении и переработке сырой нефти и нефтепродуктов. Одним из направлений решения этой проблемы является разработка инновационных технологий замедления коррозионных процессов.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последнее время было предложено большое количество нетоксичных ингибиторов коррозии, основанных на использовании природных биополимеров, относящихся к средствам «зеленой химии». Натуральные смолы, выделяемые деревьями, а также экстрагируемые из различных природных материалов, в частности, гуммиарабик, могут оказывать хорошее ингибирующее действие на поверхность металлов [1,2], обусловленное их способностью образовывать тонкую защитную пленку 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Известно, что гуммиарабик представляет собой сложный анионный полисахарид, состоящий из разветвленных полисахаридных цепей, частично связанных в белково-полисахаридные комплексы. Нами предположено, что особенности состава и структуры гуммиарабика играют особую роль в проявлении его ингибирующих свойств. Целью настоящей работы явилось исследование структурных особенностей гуммиарабика совокупностью различных методов. Изучение размеров структур, возникающих в водных растворах с различными концентрациями полисахарида, их поверхностного потенциала и коэффициента самодиффузии ЯМР проводилось методом динамического светорассеяния (ДС) с помощью многоуглового анализатора размеров частиц DLS Photocor Complex (Photocor, Russian Federation), оборудованного гелий-неоновым лазером (λ = 632.8 nm).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Морфология лиофилизированных образцов растворов гуммиарабика была проанализирована с помощью полевого эмиссионного сканирующего электронного микроскопа «Merlin» («Carl Zeiss», Германия) при ускоряющем напряжении 5 кВ. Для просвечивающей электронной микроскопии использовался электронный микроскоп Hitachi HT7700 Exalens (Япония). </w:t>
      </w:r>
    </w:p>
    <w:tbl>
      <w:tblPr>
        <w:tblStyle w:val="Table1"/>
        <w:tblW w:w="940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43"/>
        <w:gridCol w:w="6457"/>
        <w:tblGridChange w:id="0">
          <w:tblGrid>
            <w:gridCol w:w="2943"/>
            <w:gridCol w:w="64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704034" cy="1603988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034" cy="1603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Установлено, что при небольших концентрациях в водной среде молекулы гуммиарабика образуют глобулы размером 7-20 нм по данным микроскопии (со средним размером 11 нм по данным ЯМР), поверхностный потенциал которых ДС позволяет оценить в – 11 мВ. Молекулы гуммиарабика проявляют склонность к образованию комплексов из нескольких одиночных молекул, которые, в свою очередь, образуют большие пространственные агрегаты.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Вышесказанное приводит к выводу, что именно склонность гуммиарабика к образованию комплексов как между собой, так и с ионами металлов поверхностей (хемосорбция) лежит в основе его ингибирующих свойств.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Рис. 1. ПЭМ-изображение структуры гуммиарабика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Работа выполнена при финансовой поддержке РНФ, грант № 23-64-10020.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Timothy, U.J., Umoren, P.S., Solomon, M.M., Igwe, I.O., Umoren, S.A. An appraisal of the utilization of natural gums as corrosion inhibitors: Prospects, challenges, and future perspectives // International Journal of Biological Macromolecules. 2023. Vol. 253. № 126904.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bookmarkStart w:colFirst="0" w:colLast="0" w:name="_heading=h.dfxp6mduozgf" w:id="0"/>
      <w:bookmarkEnd w:id="0"/>
      <w:r w:rsidDel="00000000" w:rsidR="00000000" w:rsidRPr="00000000">
        <w:rPr>
          <w:color w:val="000000"/>
          <w:rtl w:val="0"/>
        </w:rPr>
        <w:t xml:space="preserve">2. Khair, T., Abakumova, Yu., Zueva O. Inhibitive behaviour of Gum Arabic on corrosion process of pipeline steel in acidic environment // E3S Web of Conferences 2024. 592. 04011.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a">
    <w:name w:val="Revision"/>
    <w:hidden w:val="1"/>
    <w:uiPriority w:val="99"/>
    <w:semiHidden w:val="1"/>
    <w:rsid w:val="00AD7380"/>
    <w:rPr>
      <w:rFonts w:ascii="Times New Roman" w:cs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 w:val="1"/>
    <w:unhideWhenUsed w:val="1"/>
    <w:rsid w:val="00A72FF8"/>
    <w:rPr>
      <w:rFonts w:ascii="Tahoma" w:cs="Tahoma" w:hAnsi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A72FF8"/>
    <w:rPr>
      <w:rFonts w:ascii="Tahoma" w:cs="Tahoma" w:eastAsia="Times New Roman" w:hAnsi="Tahoma"/>
      <w:sz w:val="16"/>
      <w:szCs w:val="16"/>
    </w:rPr>
  </w:style>
  <w:style w:type="table" w:styleId="ad">
    <w:name w:val="Table Grid"/>
    <w:basedOn w:val="a1"/>
    <w:uiPriority w:val="39"/>
    <w:rsid w:val="003C079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klimovitskaya@mail.r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kH6obQ5gk8Iw2PgDDWkBqLGzQ==">CgMxLjAyDmguZGZ4cDZtZHVvemdmOAByITFYSXZTMV9nSDc1WFVxczFCYVdoUHBoelRIWFgxLThFNQ==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2025-03-17T20:23:00Z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