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04523">
      <w:pPr>
        <w:ind w:firstLine="0"/>
        <w:jc w:val="center"/>
        <w:rPr>
          <w:b/>
        </w:rPr>
      </w:pPr>
      <w:r>
        <w:rPr>
          <w:b/>
        </w:rPr>
        <w:t xml:space="preserve">Получение терморасширенного графита из окисленного графита, модфицированного аддуктом </w:t>
      </w:r>
      <w:r>
        <w:rPr>
          <w:b/>
          <w:lang w:val="en-US"/>
        </w:rPr>
        <w:t>C</w:t>
      </w:r>
      <w:r>
        <w:rPr>
          <w:b/>
          <w:vertAlign w:val="subscript"/>
        </w:rPr>
        <w:t>3</w:t>
      </w:r>
      <w:r>
        <w:rPr>
          <w:b/>
          <w:lang w:val="en-US"/>
        </w:rPr>
        <w:t>H</w:t>
      </w:r>
      <w:r>
        <w:rPr>
          <w:b/>
          <w:vertAlign w:val="subscript"/>
        </w:rPr>
        <w:t>6</w:t>
      </w:r>
      <w:r>
        <w:rPr>
          <w:b/>
          <w:lang w:val="en-US"/>
        </w:rPr>
        <w:t>N</w:t>
      </w:r>
      <w:r>
        <w:rPr>
          <w:b/>
          <w:vertAlign w:val="subscript"/>
        </w:rPr>
        <w:t>6</w:t>
      </w:r>
      <w:r>
        <w:rPr>
          <w:b/>
        </w:rPr>
        <w:t>·2</w:t>
      </w:r>
      <w:r>
        <w:rPr>
          <w:b/>
          <w:lang w:val="en-US"/>
        </w:rPr>
        <w:t>H</w:t>
      </w:r>
      <w:r>
        <w:rPr>
          <w:b/>
          <w:vertAlign w:val="subscript"/>
        </w:rPr>
        <w:t>3</w:t>
      </w:r>
      <w:r>
        <w:rPr>
          <w:b/>
          <w:lang w:val="en-US"/>
        </w:rPr>
        <w:t>BO</w:t>
      </w:r>
      <w:r>
        <w:rPr>
          <w:b/>
          <w:vertAlign w:val="subscript"/>
        </w:rPr>
        <w:t>3</w:t>
      </w:r>
    </w:p>
    <w:p w14:paraId="6E9FC654">
      <w:pPr>
        <w:ind w:firstLine="0"/>
        <w:jc w:val="center"/>
        <w:rPr>
          <w:i/>
        </w:rPr>
      </w:pPr>
      <w:r>
        <w:rPr>
          <w:i/>
        </w:rPr>
        <w:t>Дивицкая Д.А.</w:t>
      </w:r>
      <w:bookmarkStart w:id="0" w:name="_GoBack"/>
      <w:bookmarkEnd w:id="0"/>
      <w:r>
        <w:rPr>
          <w:i/>
        </w:rPr>
        <w:t>, Авдеев В.В.</w:t>
      </w:r>
    </w:p>
    <w:p w14:paraId="2488C0A3">
      <w:pPr>
        <w:ind w:firstLine="0"/>
        <w:jc w:val="center"/>
      </w:pPr>
      <w:r>
        <w:t>МГУ им. М.В. Ломоносова</w:t>
      </w:r>
      <w:r>
        <w:br w:type="textWrapping"/>
      </w:r>
      <w:r>
        <w:t>119991, г. Москва, Ленинские горы, д. 1</w:t>
      </w:r>
    </w:p>
    <w:p w14:paraId="2D52F9F1">
      <w:pPr>
        <w:ind w:firstLine="0"/>
        <w:jc w:val="center"/>
      </w:pPr>
    </w:p>
    <w:p w14:paraId="170D5ABB">
      <w:pPr>
        <w:ind w:firstLine="0"/>
      </w:pPr>
      <w:r>
        <w:t xml:space="preserve">Терморасширенный графит – пористый углеродный материал с низкой насыпной плотностью, который получают путем термообработки окисленного графита. Терморасширенный графит используют для изготовления герметизирующих прокладок, которые используются в диапазоне температур до 450 °C, потому что выше этой температуры графитовые изделия начинают окисляться кислородом воздуха, что приводит к ухудшению механических и герметизирующих свойств. Для сохранения эксплуатационных свойств уплотнений можно использовать функциональные добавки для уменьшения адгезии и увеличения термостойкости. </w:t>
      </w:r>
    </w:p>
    <w:p w14:paraId="6B525163">
      <w:r>
        <w:rPr>
          <w:bCs/>
        </w:rPr>
        <w:t>В качестве такой добавки в данной работе предложен нитрид бора BN. Прекурсором для него служит аддукт меламина и борной кислоты C</w:t>
      </w:r>
      <w:r>
        <w:rPr>
          <w:bCs/>
          <w:vertAlign w:val="subscript"/>
        </w:rPr>
        <w:t>3</w:t>
      </w:r>
      <w:r>
        <w:rPr>
          <w:bCs/>
        </w:rPr>
        <w:t>H</w:t>
      </w:r>
      <w:r>
        <w:rPr>
          <w:bCs/>
          <w:vertAlign w:val="subscript"/>
        </w:rPr>
        <w:t>6</w:t>
      </w:r>
      <w:r>
        <w:rPr>
          <w:bCs/>
        </w:rPr>
        <w:t>N</w:t>
      </w:r>
      <w:r>
        <w:rPr>
          <w:bCs/>
          <w:vertAlign w:val="subscript"/>
        </w:rPr>
        <w:t>6</w:t>
      </w:r>
      <w:r>
        <w:rPr>
          <w:bCs/>
        </w:rPr>
        <w:t>·2H</w:t>
      </w:r>
      <w:r>
        <w:rPr>
          <w:bCs/>
          <w:vertAlign w:val="subscript"/>
        </w:rPr>
        <w:t>3</w:t>
      </w:r>
      <w:r>
        <w:rPr>
          <w:bCs/>
        </w:rPr>
        <w:t>BO</w:t>
      </w:r>
      <w:r>
        <w:rPr>
          <w:bCs/>
          <w:vertAlign w:val="subscript"/>
        </w:rPr>
        <w:t>3</w:t>
      </w:r>
      <w:r>
        <w:rPr>
          <w:bCs/>
        </w:rPr>
        <w:t xml:space="preserve">, который при нагревании превращается в нитрид бора.[1] Меламин и борная кислота в массовом соотношении </w:t>
      </w:r>
      <w:r>
        <w:rPr>
          <w:bCs/>
          <w:lang w:val="en-US"/>
        </w:rPr>
        <w:t>m</w:t>
      </w:r>
      <w:r>
        <w:rPr>
          <w:bCs/>
        </w:rPr>
        <w:t>(</w:t>
      </w:r>
      <w:r>
        <w:rPr>
          <w:bCs/>
          <w:lang w:val="en-US"/>
        </w:rPr>
        <w:t>M</w:t>
      </w:r>
      <w:r>
        <w:rPr>
          <w:bCs/>
        </w:rPr>
        <w:t>):</w:t>
      </w:r>
      <w:r>
        <w:rPr>
          <w:bCs/>
          <w:lang w:val="en-US"/>
        </w:rPr>
        <w:t>m</w:t>
      </w:r>
      <w:r>
        <w:rPr>
          <w:bCs/>
        </w:rPr>
        <w:t>(</w:t>
      </w:r>
      <w:r>
        <w:rPr>
          <w:bCs/>
          <w:lang w:val="en-US"/>
        </w:rPr>
        <w:t>B</w:t>
      </w:r>
      <w:r>
        <w:rPr>
          <w:bCs/>
        </w:rPr>
        <w:t xml:space="preserve">)=1:2, где </w:t>
      </w:r>
      <w:r>
        <w:rPr>
          <w:bCs/>
          <w:lang w:val="en-US"/>
        </w:rPr>
        <w:t>m</w:t>
      </w:r>
      <w:r>
        <w:rPr>
          <w:bCs/>
        </w:rPr>
        <w:t>(</w:t>
      </w:r>
      <w:r>
        <w:rPr>
          <w:bCs/>
          <w:lang w:val="en-US"/>
        </w:rPr>
        <w:t>M</w:t>
      </w:r>
      <w:r>
        <w:rPr>
          <w:bCs/>
        </w:rPr>
        <w:t xml:space="preserve">) – масса меламина, </w:t>
      </w:r>
      <w:r>
        <w:rPr>
          <w:bCs/>
          <w:lang w:val="en-US"/>
        </w:rPr>
        <w:t>m</w:t>
      </w:r>
      <w:r>
        <w:rPr>
          <w:bCs/>
        </w:rPr>
        <w:t>(</w:t>
      </w:r>
      <w:r>
        <w:rPr>
          <w:bCs/>
          <w:lang w:val="en-US"/>
        </w:rPr>
        <w:t>B</w:t>
      </w:r>
      <w:r>
        <w:rPr>
          <w:bCs/>
        </w:rPr>
        <w:t xml:space="preserve">) – масса борной кислоты, смешивались в дистиллированной воде, затем нагревались до 80 </w:t>
      </w:r>
      <w:r>
        <w:t xml:space="preserve">°C для растворения полученного аддукта. В полученном растворе пропитывался окисленный графит, который затем </w:t>
      </w:r>
      <w:r>
        <w:rPr>
          <w:bCs/>
        </w:rPr>
        <w:t xml:space="preserve">терморасширялся при 500-1000 </w:t>
      </w:r>
      <w:r>
        <w:t>°C для получения терморасширенного графита. Из терморасширенного графита прессуют графитовую фольгу, из которой изготавливают герметизирующие прокладки.</w:t>
      </w:r>
    </w:p>
    <w:p w14:paraId="179D8D19">
      <w:r>
        <w:rPr>
          <w:bCs/>
        </w:rPr>
        <w:t xml:space="preserve">Были проведены исследования на сканирующем электронном микроскопе (СЭМ) и ИК-Фурье спектрометре. Для образцов терморасширенного графита, полученных при 500 и 600 </w:t>
      </w:r>
      <w:r>
        <w:t xml:space="preserve">°C, на СЭМ-изображениях наблюдались характерные иглообразные частицы аддукта </w:t>
      </w:r>
      <w:r>
        <w:rPr>
          <w:bCs/>
        </w:rPr>
        <w:t>C</w:t>
      </w:r>
      <w:r>
        <w:rPr>
          <w:bCs/>
          <w:vertAlign w:val="subscript"/>
        </w:rPr>
        <w:t>3</w:t>
      </w:r>
      <w:r>
        <w:rPr>
          <w:bCs/>
        </w:rPr>
        <w:t>H</w:t>
      </w:r>
      <w:r>
        <w:rPr>
          <w:bCs/>
          <w:vertAlign w:val="subscript"/>
        </w:rPr>
        <w:t>6</w:t>
      </w:r>
      <w:r>
        <w:rPr>
          <w:bCs/>
        </w:rPr>
        <w:t>N</w:t>
      </w:r>
      <w:r>
        <w:rPr>
          <w:bCs/>
          <w:vertAlign w:val="subscript"/>
        </w:rPr>
        <w:t>6</w:t>
      </w:r>
      <w:r>
        <w:rPr>
          <w:bCs/>
        </w:rPr>
        <w:t>·2H</w:t>
      </w:r>
      <w:r>
        <w:rPr>
          <w:bCs/>
          <w:vertAlign w:val="subscript"/>
        </w:rPr>
        <w:t>3</w:t>
      </w:r>
      <w:r>
        <w:rPr>
          <w:bCs/>
        </w:rPr>
        <w:t>BO</w:t>
      </w:r>
      <w:r>
        <w:rPr>
          <w:bCs/>
          <w:vertAlign w:val="subscript"/>
        </w:rPr>
        <w:t>3</w:t>
      </w:r>
      <w:r>
        <w:t>, а пики на ИК-спектрах соответствовали аддукту. У образцов терморасширенного графита, полученных при 800 и 1000 °C, на СЭМ-изображениях не обнаружены частицы аддукта, а на ИК-спектрах появляются пики, относящиеся к нитриду бора.</w:t>
      </w:r>
    </w:p>
    <w:p w14:paraId="10F3022D">
      <w:pPr>
        <w:rPr>
          <w:bCs/>
          <w:lang w:val="en-US"/>
        </w:rPr>
      </w:pPr>
      <w:r>
        <w:rPr>
          <w:bCs/>
        </w:rPr>
        <w:t xml:space="preserve">Термостойкость материала характеризовалась потерей массы в час при выдерживании образцов в муфельной печи при 670 </w:t>
      </w:r>
      <w:r>
        <w:t xml:space="preserve">°C в воздушной атмосфере. Для образцов после модификации она составила 4 масс. %/ч, в то время как для исходных образцов этот показатель составляет 10 масс. </w:t>
      </w:r>
      <w:r>
        <w:rPr>
          <w:lang w:val="en-US"/>
        </w:rPr>
        <w:t>%/</w:t>
      </w:r>
      <w:r>
        <w:t>ч</w:t>
      </w:r>
      <w:r>
        <w:rPr>
          <w:lang w:val="en-US"/>
        </w:rPr>
        <w:t>.</w:t>
      </w:r>
    </w:p>
    <w:p w14:paraId="75352807">
      <w:pPr>
        <w:ind w:firstLine="0"/>
        <w:rPr>
          <w:bCs/>
          <w:lang w:val="en-US"/>
        </w:rPr>
      </w:pPr>
      <w:r>
        <w:rPr>
          <w:bCs/>
          <w:lang w:val="en-US"/>
        </w:rPr>
        <w:t>1. Pan J., Wang J. Boron nitride aerogels consisting of varied superstructures// Nanoscale Adv., 2020, V. 2, P. 149-155</w:t>
      </w:r>
    </w:p>
    <w:p w14:paraId="1074DFA4">
      <w:pPr>
        <w:rPr>
          <w:bCs/>
          <w:i/>
          <w:iCs/>
        </w:rPr>
      </w:pPr>
      <w:r>
        <w:rPr>
          <w:bCs/>
          <w:i/>
          <w:iCs/>
        </w:rPr>
        <w:t>Исследование выполнено в рамках работ по теме № АААА-А21-121011590086-0 гос. задания «Вещества и материалы для обеспечения безопасности, надежности и энергоэффективности»</w:t>
      </w:r>
    </w:p>
    <w:p w14:paraId="130AF39D">
      <w:pPr>
        <w:rPr>
          <w:bCs/>
          <w:i/>
          <w:iCs/>
        </w:rPr>
      </w:pPr>
    </w:p>
    <w:sectPr>
      <w:headerReference r:id="rId3" w:type="default"/>
      <w:pgSz w:w="9979" w:h="14175"/>
      <w:pgMar w:top="1701" w:right="1134" w:bottom="1418" w:left="1191" w:header="1276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D25B0">
    <w:pPr>
      <w:pStyle w:val="6"/>
      <w:pBdr>
        <w:bottom w:val="single" w:color="auto" w:sz="4" w:space="1"/>
      </w:pBdr>
      <w:ind w:firstLine="0"/>
      <w:jc w:val="left"/>
    </w:pPr>
    <w:r>
      <w:t>Не настраивайте параметры страницы (размер, поля и колонтитулы)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C2"/>
    <w:rsid w:val="000E27AA"/>
    <w:rsid w:val="00151B56"/>
    <w:rsid w:val="0021347A"/>
    <w:rsid w:val="00307E37"/>
    <w:rsid w:val="00342BE0"/>
    <w:rsid w:val="00387D92"/>
    <w:rsid w:val="00445B33"/>
    <w:rsid w:val="00462B34"/>
    <w:rsid w:val="004C294D"/>
    <w:rsid w:val="004C5C98"/>
    <w:rsid w:val="005023FA"/>
    <w:rsid w:val="0057653B"/>
    <w:rsid w:val="005851C5"/>
    <w:rsid w:val="005D3289"/>
    <w:rsid w:val="005E5764"/>
    <w:rsid w:val="00662573"/>
    <w:rsid w:val="00722FB3"/>
    <w:rsid w:val="0073510E"/>
    <w:rsid w:val="007417E2"/>
    <w:rsid w:val="00751483"/>
    <w:rsid w:val="007618D6"/>
    <w:rsid w:val="007A7E5F"/>
    <w:rsid w:val="007B33B5"/>
    <w:rsid w:val="007D7ADC"/>
    <w:rsid w:val="008003CF"/>
    <w:rsid w:val="00881A19"/>
    <w:rsid w:val="009057AB"/>
    <w:rsid w:val="0094687D"/>
    <w:rsid w:val="00A304C2"/>
    <w:rsid w:val="00A30A3F"/>
    <w:rsid w:val="00AF045A"/>
    <w:rsid w:val="00B81C46"/>
    <w:rsid w:val="00BC75EC"/>
    <w:rsid w:val="00CD3B8C"/>
    <w:rsid w:val="00CD4880"/>
    <w:rsid w:val="00D31DA6"/>
    <w:rsid w:val="00D64457"/>
    <w:rsid w:val="00DC7115"/>
    <w:rsid w:val="00EF481A"/>
    <w:rsid w:val="00F059E4"/>
    <w:rsid w:val="00F15505"/>
    <w:rsid w:val="00FB6FAA"/>
    <w:rsid w:val="00FE3844"/>
    <w:rsid w:val="5356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ind w:firstLine="284"/>
      <w:jc w:val="both"/>
    </w:pPr>
    <w:rPr>
      <w:rFonts w:ascii="Times New Roman" w:hAnsi="Times New Roman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9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0"/>
    <w:unhideWhenUsed/>
    <w:uiPriority w:val="99"/>
    <w:pPr>
      <w:tabs>
        <w:tab w:val="center" w:pos="4677"/>
        <w:tab w:val="right" w:pos="9355"/>
      </w:tabs>
    </w:pPr>
  </w:style>
  <w:style w:type="table" w:styleId="8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Верхний колонтитул Знак"/>
    <w:basedOn w:val="2"/>
    <w:link w:val="6"/>
    <w:uiPriority w:val="99"/>
  </w:style>
  <w:style w:type="character" w:customStyle="1" w:styleId="10">
    <w:name w:val="Нижний колонтитул Знак"/>
    <w:basedOn w:val="2"/>
    <w:link w:val="7"/>
    <w:uiPriority w:val="99"/>
  </w:style>
  <w:style w:type="character" w:customStyle="1" w:styleId="11">
    <w:name w:val="Текст выноски Знак"/>
    <w:link w:val="5"/>
    <w:semiHidden/>
    <w:uiPriority w:val="99"/>
    <w:rPr>
      <w:rFonts w:ascii="Tahoma" w:hAnsi="Tahoma" w:cs="Tahoma"/>
      <w:sz w:val="16"/>
      <w:szCs w:val="16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2129</Characters>
  <Lines>17</Lines>
  <Paragraphs>4</Paragraphs>
  <TotalTime>1</TotalTime>
  <ScaleCrop>false</ScaleCrop>
  <LinksUpToDate>false</LinksUpToDate>
  <CharactersWithSpaces>2498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2025-02-25T15:20:00Z</dcterms:created>
  <dc:creator>Пользователь</dc:creator>
  <cp:lastModifiedBy>Петряха</cp:lastModifiedBy>
  <dcterms:modified xsi:type="dcterms:W3CDTF">2025-03-09T20:50:13Z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3CD184A9073E4E6EAD90D765F6ED3166_12</vt:lpwstr>
  </property>
</Properties>
</file>