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2F043" w14:textId="6A31D823" w:rsidR="00883190" w:rsidRPr="00E23338" w:rsidRDefault="00921D45" w:rsidP="00E233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bookmarkStart w:id="0" w:name="_Hlk191925309"/>
      <w:r>
        <w:rPr>
          <w:b/>
          <w:color w:val="000000"/>
        </w:rPr>
        <w:t xml:space="preserve"> </w:t>
      </w:r>
      <w:bookmarkEnd w:id="0"/>
      <w:r w:rsidR="00883190" w:rsidRPr="00883190">
        <w:rPr>
          <w:b/>
          <w:bCs/>
          <w:color w:val="000000"/>
        </w:rPr>
        <w:t xml:space="preserve">Биорезорбируемые </w:t>
      </w:r>
      <w:proofErr w:type="spellStart"/>
      <w:r w:rsidR="00883190" w:rsidRPr="00883190">
        <w:rPr>
          <w:b/>
          <w:bCs/>
          <w:color w:val="000000"/>
        </w:rPr>
        <w:t>остеокондуктивные</w:t>
      </w:r>
      <w:proofErr w:type="spellEnd"/>
      <w:r w:rsidR="00883190" w:rsidRPr="00883190">
        <w:rPr>
          <w:b/>
          <w:bCs/>
          <w:color w:val="000000"/>
        </w:rPr>
        <w:t xml:space="preserve"> керамические материалы на основе системы Mg</w:t>
      </w:r>
      <w:r w:rsidR="00883190" w:rsidRPr="00883190">
        <w:rPr>
          <w:b/>
          <w:bCs/>
          <w:color w:val="000000"/>
          <w:vertAlign w:val="subscript"/>
        </w:rPr>
        <w:t>3</w:t>
      </w:r>
      <w:r w:rsidR="00883190" w:rsidRPr="00883190">
        <w:rPr>
          <w:b/>
          <w:bCs/>
          <w:color w:val="000000"/>
        </w:rPr>
        <w:t>(PO</w:t>
      </w:r>
      <w:r w:rsidR="00883190" w:rsidRPr="00883190">
        <w:rPr>
          <w:b/>
          <w:bCs/>
          <w:color w:val="000000"/>
          <w:vertAlign w:val="subscript"/>
        </w:rPr>
        <w:t>4</w:t>
      </w:r>
      <w:r w:rsidR="00883190" w:rsidRPr="00883190">
        <w:rPr>
          <w:b/>
          <w:bCs/>
          <w:color w:val="000000"/>
        </w:rPr>
        <w:t>)</w:t>
      </w:r>
      <w:r w:rsidR="00883190" w:rsidRPr="00883190">
        <w:rPr>
          <w:b/>
          <w:bCs/>
          <w:color w:val="000000"/>
          <w:vertAlign w:val="subscript"/>
        </w:rPr>
        <w:t>2</w:t>
      </w:r>
      <w:r w:rsidR="00883190" w:rsidRPr="00883190">
        <w:rPr>
          <w:b/>
          <w:bCs/>
          <w:color w:val="000000"/>
        </w:rPr>
        <w:t>–Mg</w:t>
      </w:r>
      <w:r w:rsidR="00883190" w:rsidRPr="00883190">
        <w:rPr>
          <w:b/>
          <w:bCs/>
          <w:color w:val="000000"/>
          <w:vertAlign w:val="subscript"/>
        </w:rPr>
        <w:t>2</w:t>
      </w:r>
      <w:r w:rsidR="00883190" w:rsidRPr="00883190">
        <w:rPr>
          <w:b/>
          <w:bCs/>
          <w:color w:val="000000"/>
        </w:rPr>
        <w:t>P</w:t>
      </w:r>
      <w:r w:rsidR="00883190" w:rsidRPr="00883190">
        <w:rPr>
          <w:b/>
          <w:bCs/>
          <w:color w:val="000000"/>
          <w:vertAlign w:val="subscript"/>
        </w:rPr>
        <w:t>2</w:t>
      </w:r>
      <w:r w:rsidR="00883190" w:rsidRPr="00883190">
        <w:rPr>
          <w:b/>
          <w:bCs/>
          <w:color w:val="000000"/>
        </w:rPr>
        <w:t>O</w:t>
      </w:r>
      <w:r w:rsidR="00883190" w:rsidRPr="00883190">
        <w:rPr>
          <w:b/>
          <w:bCs/>
          <w:color w:val="000000"/>
          <w:vertAlign w:val="subscript"/>
        </w:rPr>
        <w:t>7</w:t>
      </w:r>
      <w:r w:rsidR="00883190" w:rsidRPr="00883190">
        <w:rPr>
          <w:b/>
          <w:bCs/>
          <w:color w:val="000000"/>
        </w:rPr>
        <w:t xml:space="preserve"> для регенерации костной ткани</w:t>
      </w:r>
    </w:p>
    <w:p w14:paraId="00000002" w14:textId="052BC225" w:rsidR="00130241" w:rsidRDefault="00C16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1" w:name="_Hlk191924884"/>
      <w:proofErr w:type="spellStart"/>
      <w:r>
        <w:rPr>
          <w:b/>
          <w:i/>
          <w:color w:val="000000"/>
        </w:rPr>
        <w:t>Рассолова</w:t>
      </w:r>
      <w:proofErr w:type="spellEnd"/>
      <w:r>
        <w:rPr>
          <w:b/>
          <w:i/>
          <w:color w:val="000000"/>
        </w:rPr>
        <w:t xml:space="preserve"> Ю.Р.,</w:t>
      </w:r>
      <w:r w:rsidR="008C5EE6">
        <w:rPr>
          <w:b/>
          <w:i/>
          <w:color w:val="000000"/>
        </w:rPr>
        <w:t xml:space="preserve"> </w:t>
      </w:r>
      <w:r w:rsidR="008C5EE6">
        <w:rPr>
          <w:b/>
          <w:color w:val="000000"/>
        </w:rPr>
        <w:t>Мурашко А.М.</w:t>
      </w:r>
      <w:r w:rsidR="008C5EE6">
        <w:rPr>
          <w:b/>
          <w:color w:val="000000"/>
        </w:rPr>
        <w:t>, Исаева В.Е.,</w:t>
      </w:r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>Филиппов Я.Ю.</w:t>
      </w:r>
      <w:r w:rsidR="00BB2BEF">
        <w:rPr>
          <w:b/>
          <w:color w:val="000000"/>
        </w:rPr>
        <w:t xml:space="preserve">, </w:t>
      </w:r>
      <w:proofErr w:type="spellStart"/>
      <w:r w:rsidR="00BB2BEF">
        <w:rPr>
          <w:b/>
          <w:color w:val="000000"/>
        </w:rPr>
        <w:t>Климашина</w:t>
      </w:r>
      <w:proofErr w:type="spellEnd"/>
      <w:r w:rsidR="00BB2BEF">
        <w:rPr>
          <w:b/>
          <w:color w:val="000000"/>
        </w:rPr>
        <w:t xml:space="preserve"> Е.С., </w:t>
      </w:r>
      <w:proofErr w:type="spellStart"/>
      <w:r w:rsidR="00BB2BEF">
        <w:rPr>
          <w:b/>
          <w:color w:val="000000"/>
        </w:rPr>
        <w:t>Путляев</w:t>
      </w:r>
      <w:proofErr w:type="spellEnd"/>
      <w:r w:rsidR="00BB2BEF">
        <w:rPr>
          <w:b/>
          <w:color w:val="000000"/>
        </w:rPr>
        <w:t xml:space="preserve"> В.И.</w:t>
      </w:r>
    </w:p>
    <w:bookmarkEnd w:id="1"/>
    <w:p w14:paraId="00000003" w14:textId="62DB113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161B9">
        <w:rPr>
          <w:i/>
          <w:color w:val="000000"/>
        </w:rPr>
        <w:t>ка</w:t>
      </w:r>
      <w:r>
        <w:rPr>
          <w:i/>
          <w:color w:val="000000"/>
        </w:rPr>
        <w:t xml:space="preserve"> </w:t>
      </w:r>
      <w:r w:rsidR="008C5EE6">
        <w:rPr>
          <w:i/>
          <w:color w:val="000000"/>
        </w:rPr>
        <w:t>4</w:t>
      </w:r>
      <w:r>
        <w:rPr>
          <w:i/>
          <w:color w:val="000000"/>
        </w:rPr>
        <w:t xml:space="preserve"> курс</w:t>
      </w:r>
      <w:r w:rsidR="008C5EE6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C161B9">
        <w:rPr>
          <w:i/>
          <w:color w:val="000000"/>
        </w:rPr>
        <w:t>бакалавра</w:t>
      </w:r>
    </w:p>
    <w:p w14:paraId="00000005" w14:textId="59CD130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2" w:name="_Hlk191925080"/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 xml:space="preserve"> факультет</w:t>
      </w:r>
      <w:r w:rsidR="00C161B9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bookmarkEnd w:id="2"/>
    <w:p w14:paraId="00000008" w14:textId="74882321" w:rsidR="00130241" w:rsidRPr="0011772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17726">
        <w:rPr>
          <w:i/>
          <w:color w:val="000000"/>
          <w:lang w:val="en-US"/>
        </w:rPr>
        <w:t>E</w:t>
      </w:r>
      <w:r w:rsidR="003B76D6" w:rsidRPr="00117726">
        <w:rPr>
          <w:i/>
          <w:color w:val="000000"/>
          <w:lang w:val="en-US"/>
        </w:rPr>
        <w:t>-</w:t>
      </w:r>
      <w:r w:rsidRPr="00117726">
        <w:rPr>
          <w:i/>
          <w:color w:val="000000"/>
          <w:lang w:val="en-US"/>
        </w:rPr>
        <w:t>mail</w:t>
      </w:r>
      <w:r w:rsidR="00C161B9" w:rsidRPr="00117726">
        <w:rPr>
          <w:i/>
          <w:color w:val="000000"/>
          <w:lang w:val="en-US"/>
        </w:rPr>
        <w:t>:</w:t>
      </w:r>
      <w:r w:rsidR="00117726" w:rsidRPr="00117726">
        <w:rPr>
          <w:rFonts w:ascii="Arial" w:hAnsi="Arial" w:cs="Arial"/>
          <w:color w:val="999999"/>
          <w:sz w:val="21"/>
          <w:szCs w:val="21"/>
          <w:shd w:val="clear" w:color="auto" w:fill="FFFFFF"/>
          <w:lang w:val="en-US"/>
        </w:rPr>
        <w:t xml:space="preserve"> </w:t>
      </w:r>
      <w:r w:rsidR="008C5EE6">
        <w:rPr>
          <w:i/>
          <w:color w:val="000000"/>
          <w:lang w:val="en-US"/>
        </w:rPr>
        <w:t>rassolovayr</w:t>
      </w:r>
      <w:r w:rsidR="00117726" w:rsidRPr="00117726">
        <w:rPr>
          <w:i/>
          <w:color w:val="000000"/>
          <w:lang w:val="en-US"/>
        </w:rPr>
        <w:t>@my.msu.ru</w:t>
      </w:r>
    </w:p>
    <w:p w14:paraId="2244F57B" w14:textId="6A0BA115" w:rsidR="008C5EE6" w:rsidRPr="008C5EE6" w:rsidRDefault="008C5EE6" w:rsidP="008C5E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bookmarkStart w:id="3" w:name="_Hlk191925226"/>
      <w:r w:rsidRPr="008C5EE6">
        <w:rPr>
          <w:color w:val="000000"/>
        </w:rPr>
        <w:t>Перспективным материалом с точки зрения создания биорезорбируемых имплантатов является керамика на основе фосфатов магния, благодаря улучшенным биологическим и механическим характеристикам. Для медицинского применения интересно изучение составов в области Mg</w:t>
      </w:r>
      <w:r w:rsidRPr="008C5EE6">
        <w:rPr>
          <w:color w:val="000000"/>
          <w:vertAlign w:val="subscript"/>
        </w:rPr>
        <w:t>3</w:t>
      </w:r>
      <w:r w:rsidRPr="008C5EE6">
        <w:rPr>
          <w:color w:val="000000"/>
        </w:rPr>
        <w:t>(PO</w:t>
      </w:r>
      <w:r w:rsidRPr="008C5EE6">
        <w:rPr>
          <w:color w:val="000000"/>
          <w:vertAlign w:val="subscript"/>
        </w:rPr>
        <w:t>4</w:t>
      </w:r>
      <w:r w:rsidRPr="008C5EE6">
        <w:rPr>
          <w:color w:val="000000"/>
        </w:rPr>
        <w:t>)</w:t>
      </w:r>
      <w:r w:rsidRPr="008C5EE6">
        <w:rPr>
          <w:color w:val="000000"/>
          <w:vertAlign w:val="subscript"/>
        </w:rPr>
        <w:t>2</w:t>
      </w:r>
      <w:r w:rsidRPr="008C5EE6">
        <w:rPr>
          <w:color w:val="000000"/>
        </w:rPr>
        <w:t>-Mg</w:t>
      </w:r>
      <w:r w:rsidRPr="008C5EE6">
        <w:rPr>
          <w:color w:val="000000"/>
          <w:vertAlign w:val="subscript"/>
        </w:rPr>
        <w:t>2</w:t>
      </w:r>
      <w:r w:rsidRPr="008C5EE6">
        <w:rPr>
          <w:color w:val="000000"/>
        </w:rPr>
        <w:t>P</w:t>
      </w:r>
      <w:r w:rsidRPr="008C5EE6">
        <w:rPr>
          <w:color w:val="000000"/>
          <w:vertAlign w:val="subscript"/>
        </w:rPr>
        <w:t>2</w:t>
      </w:r>
      <w:r w:rsidRPr="008C5EE6">
        <w:rPr>
          <w:color w:val="000000"/>
        </w:rPr>
        <w:t>O</w:t>
      </w:r>
      <w:r w:rsidRPr="008C5EE6">
        <w:rPr>
          <w:color w:val="000000"/>
          <w:vertAlign w:val="subscript"/>
        </w:rPr>
        <w:t xml:space="preserve">7 </w:t>
      </w:r>
      <w:r w:rsidRPr="008C5EE6">
        <w:rPr>
          <w:color w:val="000000"/>
        </w:rPr>
        <w:t xml:space="preserve">за счет формирования нейтрального уровня </w:t>
      </w:r>
      <w:r w:rsidRPr="008C5EE6">
        <w:rPr>
          <w:color w:val="000000"/>
          <w:lang w:val="en-US"/>
        </w:rPr>
        <w:t>pH</w:t>
      </w:r>
      <w:r w:rsidRPr="008C5EE6">
        <w:rPr>
          <w:color w:val="000000"/>
        </w:rPr>
        <w:t>, а также подходящей скоростью растворения. Эффективность протекания регенерационных процессов обусловлена наличием взаимосвязанной системы макропор, что возможно осуществить с помощью стереолитографической 3</w:t>
      </w:r>
      <w:r w:rsidRPr="008C5EE6">
        <w:rPr>
          <w:color w:val="000000"/>
          <w:lang w:val="en-US"/>
        </w:rPr>
        <w:t>D</w:t>
      </w:r>
      <w:r w:rsidRPr="008C5EE6">
        <w:rPr>
          <w:color w:val="000000"/>
        </w:rPr>
        <w:t xml:space="preserve">-печати. Таким образом, целью данной работы стала разработка биорезорбируемых </w:t>
      </w:r>
      <w:proofErr w:type="spellStart"/>
      <w:r w:rsidRPr="008C5EE6">
        <w:rPr>
          <w:color w:val="000000"/>
        </w:rPr>
        <w:t>остеокондуктивных</w:t>
      </w:r>
      <w:proofErr w:type="spellEnd"/>
      <w:r w:rsidRPr="008C5EE6">
        <w:rPr>
          <w:color w:val="000000"/>
        </w:rPr>
        <w:t xml:space="preserve"> керамических материалов на основе системы Mg</w:t>
      </w:r>
      <w:r w:rsidRPr="008C5EE6">
        <w:rPr>
          <w:color w:val="000000"/>
          <w:vertAlign w:val="subscript"/>
        </w:rPr>
        <w:t>3</w:t>
      </w:r>
      <w:r w:rsidRPr="008C5EE6">
        <w:rPr>
          <w:color w:val="000000"/>
        </w:rPr>
        <w:t>(PO</w:t>
      </w:r>
      <w:r w:rsidRPr="008C5EE6">
        <w:rPr>
          <w:color w:val="000000"/>
          <w:vertAlign w:val="subscript"/>
        </w:rPr>
        <w:t>4</w:t>
      </w:r>
      <w:r w:rsidRPr="008C5EE6">
        <w:rPr>
          <w:color w:val="000000"/>
        </w:rPr>
        <w:t>)</w:t>
      </w:r>
      <w:r w:rsidRPr="008C5EE6">
        <w:rPr>
          <w:color w:val="000000"/>
          <w:vertAlign w:val="subscript"/>
        </w:rPr>
        <w:t>2</w:t>
      </w:r>
      <w:r w:rsidRPr="008C5EE6">
        <w:rPr>
          <w:color w:val="000000"/>
        </w:rPr>
        <w:t>-Mg</w:t>
      </w:r>
      <w:r w:rsidRPr="008C5EE6">
        <w:rPr>
          <w:color w:val="000000"/>
          <w:vertAlign w:val="subscript"/>
        </w:rPr>
        <w:t>2</w:t>
      </w:r>
      <w:r w:rsidRPr="008C5EE6">
        <w:rPr>
          <w:color w:val="000000"/>
        </w:rPr>
        <w:t>P</w:t>
      </w:r>
      <w:r w:rsidRPr="008C5EE6">
        <w:rPr>
          <w:color w:val="000000"/>
          <w:vertAlign w:val="subscript"/>
        </w:rPr>
        <w:t>2</w:t>
      </w:r>
      <w:r w:rsidRPr="008C5EE6">
        <w:rPr>
          <w:color w:val="000000"/>
        </w:rPr>
        <w:t>O</w:t>
      </w:r>
      <w:r w:rsidRPr="008C5EE6">
        <w:rPr>
          <w:color w:val="000000"/>
          <w:vertAlign w:val="subscript"/>
        </w:rPr>
        <w:t>7</w:t>
      </w:r>
      <w:r>
        <w:rPr>
          <w:color w:val="000000"/>
        </w:rPr>
        <w:t xml:space="preserve"> </w:t>
      </w:r>
      <w:r w:rsidRPr="008C5EE6">
        <w:rPr>
          <w:color w:val="000000"/>
        </w:rPr>
        <w:t>для медицинского применения.</w:t>
      </w:r>
    </w:p>
    <w:p w14:paraId="4A8A2BB3" w14:textId="290AC4D0" w:rsidR="008C5EE6" w:rsidRPr="008C5EE6" w:rsidRDefault="008C5EE6" w:rsidP="008C5E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C5EE6">
        <w:rPr>
          <w:color w:val="000000"/>
        </w:rPr>
        <w:t xml:space="preserve">Порошковые </w:t>
      </w:r>
      <w:proofErr w:type="spellStart"/>
      <w:r w:rsidRPr="008C5EE6">
        <w:rPr>
          <w:color w:val="000000"/>
        </w:rPr>
        <w:t>прекурсоры</w:t>
      </w:r>
      <w:proofErr w:type="spellEnd"/>
      <w:r w:rsidRPr="008C5EE6">
        <w:rPr>
          <w:color w:val="000000"/>
        </w:rPr>
        <w:t xml:space="preserve"> фосфатов магния были получены методом пиролиза аэрозоля, с формированием субмикронных сферических частиц, с помощью золь-гель синтеза, приводящего к образованию агломератов из частиц размером порядка 1 мкм, а также твердофазным методом, характеризующимся более грубой морфологией. Термообработка составов после пиролиза при 700</w:t>
      </w:r>
      <w:r w:rsidRPr="008C5EE6">
        <w:rPr>
          <w:color w:val="000000"/>
          <w:vertAlign w:val="superscript"/>
        </w:rPr>
        <w:t>о</w:t>
      </w:r>
      <w:r w:rsidRPr="008C5EE6">
        <w:rPr>
          <w:color w:val="000000"/>
          <w:lang w:val="en-US"/>
        </w:rPr>
        <w:t>C</w:t>
      </w:r>
      <w:r w:rsidRPr="008C5EE6">
        <w:rPr>
          <w:color w:val="000000"/>
        </w:rPr>
        <w:t xml:space="preserve"> приводит к разложению остаточных нитратов и удалению влаги в виде газообразных продуктов с сохранением размера частиц. По данным дилатометрического анализа была выбрана температура спекания прессовок – 1100</w:t>
      </w:r>
      <w:r w:rsidRPr="008C5EE6">
        <w:rPr>
          <w:color w:val="000000"/>
          <w:vertAlign w:val="superscript"/>
        </w:rPr>
        <w:t>о</w:t>
      </w:r>
      <w:r w:rsidRPr="008C5EE6">
        <w:rPr>
          <w:color w:val="000000"/>
          <w:lang w:val="en-US"/>
        </w:rPr>
        <w:t>C</w:t>
      </w:r>
      <w:r w:rsidRPr="008C5EE6">
        <w:rPr>
          <w:color w:val="000000"/>
        </w:rPr>
        <w:t xml:space="preserve"> с выдержкой в течение 3 часов. Метод пиролиза аэрозоля позволяет получать керамику с наибольшей плотностью во всем диапазоне составов. Наиболее эффективно процесс спекания протекает для эвтектического состава, плотность которого достигает 93%. Уменьшение времени выдержки при термообработке материалов на основе </w:t>
      </w:r>
      <w:proofErr w:type="spellStart"/>
      <w:r w:rsidRPr="008C5EE6">
        <w:rPr>
          <w:color w:val="000000"/>
        </w:rPr>
        <w:t>ортофосфата</w:t>
      </w:r>
      <w:proofErr w:type="spellEnd"/>
      <w:r w:rsidRPr="008C5EE6">
        <w:rPr>
          <w:color w:val="000000"/>
        </w:rPr>
        <w:t xml:space="preserve"> магния и эвтектического состава позволило уменьшить размер зерна. Увеличение температуры спекания </w:t>
      </w:r>
      <w:proofErr w:type="spellStart"/>
      <w:r w:rsidRPr="008C5EE6">
        <w:rPr>
          <w:color w:val="000000"/>
        </w:rPr>
        <w:t>пирофосфата</w:t>
      </w:r>
      <w:proofErr w:type="spellEnd"/>
      <w:r w:rsidRPr="008C5EE6">
        <w:rPr>
          <w:color w:val="000000"/>
        </w:rPr>
        <w:t xml:space="preserve"> магния, а также введение добавки </w:t>
      </w:r>
      <w:proofErr w:type="spellStart"/>
      <w:r w:rsidRPr="008C5EE6">
        <w:rPr>
          <w:color w:val="000000"/>
        </w:rPr>
        <w:t>ортофосфата</w:t>
      </w:r>
      <w:proofErr w:type="spellEnd"/>
      <w:r w:rsidRPr="008C5EE6">
        <w:rPr>
          <w:color w:val="000000"/>
        </w:rPr>
        <w:t xml:space="preserve"> магния приводит к значительному повышению плотности получаемой керамики от 75 до 88%. </w:t>
      </w:r>
    </w:p>
    <w:p w14:paraId="31BB5ED3" w14:textId="77777777" w:rsidR="008C5EE6" w:rsidRPr="008C5EE6" w:rsidRDefault="008C5EE6" w:rsidP="008C5E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C5EE6">
        <w:rPr>
          <w:color w:val="000000"/>
        </w:rPr>
        <w:t>Исследованы фоточувствительные характеристики суспензий, полученных на основе фосфатов магния, для определения параметров проведения стереолитографической печати. Выбран режим термообработки напечатанных структур, позволяющий избежать растрескивания индивидуальных слоев после печати и получить структуры с заданной архитектурой порового пространства.</w:t>
      </w:r>
    </w:p>
    <w:p w14:paraId="73767CE6" w14:textId="77D392C1" w:rsidR="008C5EE6" w:rsidRDefault="008C5EE6" w:rsidP="00E233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C5EE6">
        <w:rPr>
          <w:color w:val="000000"/>
        </w:rPr>
        <w:t xml:space="preserve">По результатам МТТ-теста было показано отсутствие </w:t>
      </w:r>
      <w:proofErr w:type="spellStart"/>
      <w:r w:rsidRPr="008C5EE6">
        <w:rPr>
          <w:color w:val="000000"/>
        </w:rPr>
        <w:t>цитотоксичности</w:t>
      </w:r>
      <w:proofErr w:type="spellEnd"/>
      <w:r w:rsidRPr="008C5EE6">
        <w:rPr>
          <w:color w:val="000000"/>
        </w:rPr>
        <w:t xml:space="preserve"> керамических материалов, полученных с использованием метода пиролиза аэрозоля. При этом материалы, полученные твердо</w:t>
      </w:r>
      <w:bookmarkStart w:id="4" w:name="_GoBack"/>
      <w:bookmarkEnd w:id="4"/>
      <w:r w:rsidRPr="008C5EE6">
        <w:rPr>
          <w:color w:val="000000"/>
        </w:rPr>
        <w:t>фазным методом, демонстрируют меньшую выживаемость клеток.</w:t>
      </w:r>
    </w:p>
    <w:p w14:paraId="0E691221" w14:textId="31325869" w:rsidR="00AB2952" w:rsidRPr="00E23338" w:rsidRDefault="008B4CB0" w:rsidP="007244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E23338">
        <w:rPr>
          <w:i/>
          <w:color w:val="000000"/>
        </w:rPr>
        <w:t>Работа выполнена при финансовой поддержке гранта РНФ № 24-29-00396.</w:t>
      </w:r>
      <w:bookmarkEnd w:id="3"/>
    </w:p>
    <w:sectPr w:rsidR="00AB2952" w:rsidRPr="00E233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0FCE"/>
    <w:multiLevelType w:val="hybridMultilevel"/>
    <w:tmpl w:val="A492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57B05"/>
    <w:multiLevelType w:val="hybridMultilevel"/>
    <w:tmpl w:val="D5FE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56B2"/>
    <w:rsid w:val="000E334E"/>
    <w:rsid w:val="000F5F9E"/>
    <w:rsid w:val="00101A1C"/>
    <w:rsid w:val="00103657"/>
    <w:rsid w:val="00106375"/>
    <w:rsid w:val="00107AA3"/>
    <w:rsid w:val="00116478"/>
    <w:rsid w:val="00117726"/>
    <w:rsid w:val="00130241"/>
    <w:rsid w:val="001D32EF"/>
    <w:rsid w:val="001E61C2"/>
    <w:rsid w:val="001F0493"/>
    <w:rsid w:val="00200ADF"/>
    <w:rsid w:val="0022260A"/>
    <w:rsid w:val="002264EE"/>
    <w:rsid w:val="0023307C"/>
    <w:rsid w:val="00274A6C"/>
    <w:rsid w:val="00283130"/>
    <w:rsid w:val="0031361E"/>
    <w:rsid w:val="00391C38"/>
    <w:rsid w:val="003A7B12"/>
    <w:rsid w:val="003B76D6"/>
    <w:rsid w:val="003E2601"/>
    <w:rsid w:val="003F4E6B"/>
    <w:rsid w:val="004A1F22"/>
    <w:rsid w:val="004A26A3"/>
    <w:rsid w:val="004F0EDF"/>
    <w:rsid w:val="00522BF1"/>
    <w:rsid w:val="00590166"/>
    <w:rsid w:val="005B60EA"/>
    <w:rsid w:val="005D022B"/>
    <w:rsid w:val="005E523B"/>
    <w:rsid w:val="005E5BE9"/>
    <w:rsid w:val="00645F2C"/>
    <w:rsid w:val="00666733"/>
    <w:rsid w:val="0069427D"/>
    <w:rsid w:val="006D59A6"/>
    <w:rsid w:val="006E68CC"/>
    <w:rsid w:val="006F7A19"/>
    <w:rsid w:val="007127AE"/>
    <w:rsid w:val="007213E1"/>
    <w:rsid w:val="007244E1"/>
    <w:rsid w:val="00775389"/>
    <w:rsid w:val="00797838"/>
    <w:rsid w:val="007B4F05"/>
    <w:rsid w:val="007C36D8"/>
    <w:rsid w:val="007F2744"/>
    <w:rsid w:val="00816643"/>
    <w:rsid w:val="00840EAF"/>
    <w:rsid w:val="00883190"/>
    <w:rsid w:val="008931BE"/>
    <w:rsid w:val="008A68FB"/>
    <w:rsid w:val="008B4CB0"/>
    <w:rsid w:val="008C5EE6"/>
    <w:rsid w:val="008C67E3"/>
    <w:rsid w:val="00914205"/>
    <w:rsid w:val="00920FBF"/>
    <w:rsid w:val="00921D45"/>
    <w:rsid w:val="009426C0"/>
    <w:rsid w:val="00980A65"/>
    <w:rsid w:val="009A66DB"/>
    <w:rsid w:val="009B2F80"/>
    <w:rsid w:val="009B3300"/>
    <w:rsid w:val="009B3E4D"/>
    <w:rsid w:val="009B734F"/>
    <w:rsid w:val="009F3380"/>
    <w:rsid w:val="00A02163"/>
    <w:rsid w:val="00A24B65"/>
    <w:rsid w:val="00A314FE"/>
    <w:rsid w:val="00A429E7"/>
    <w:rsid w:val="00AB22EB"/>
    <w:rsid w:val="00AB2952"/>
    <w:rsid w:val="00AB4477"/>
    <w:rsid w:val="00AC5B2A"/>
    <w:rsid w:val="00AD6BF2"/>
    <w:rsid w:val="00AD7380"/>
    <w:rsid w:val="00B14FAC"/>
    <w:rsid w:val="00B3480A"/>
    <w:rsid w:val="00B51DE0"/>
    <w:rsid w:val="00B81C77"/>
    <w:rsid w:val="00B971BC"/>
    <w:rsid w:val="00BB2BEF"/>
    <w:rsid w:val="00BC71AC"/>
    <w:rsid w:val="00BC7781"/>
    <w:rsid w:val="00BE20AF"/>
    <w:rsid w:val="00BF36F8"/>
    <w:rsid w:val="00BF4622"/>
    <w:rsid w:val="00BF676C"/>
    <w:rsid w:val="00C161B9"/>
    <w:rsid w:val="00C53FDB"/>
    <w:rsid w:val="00C844E2"/>
    <w:rsid w:val="00CD00B1"/>
    <w:rsid w:val="00D22306"/>
    <w:rsid w:val="00D2708D"/>
    <w:rsid w:val="00D42542"/>
    <w:rsid w:val="00D8121C"/>
    <w:rsid w:val="00E22189"/>
    <w:rsid w:val="00E23338"/>
    <w:rsid w:val="00E23A66"/>
    <w:rsid w:val="00E74069"/>
    <w:rsid w:val="00E81D35"/>
    <w:rsid w:val="00EA56BA"/>
    <w:rsid w:val="00EB1F49"/>
    <w:rsid w:val="00F10B1A"/>
    <w:rsid w:val="00F17CD4"/>
    <w:rsid w:val="00F814E0"/>
    <w:rsid w:val="00F865B3"/>
    <w:rsid w:val="00FB1509"/>
    <w:rsid w:val="00FC57F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77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839850-72C0-4851-8A43-CE6238A1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Рассолова Юлия</cp:lastModifiedBy>
  <cp:revision>32</cp:revision>
  <dcterms:created xsi:type="dcterms:W3CDTF">2024-12-16T00:35:00Z</dcterms:created>
  <dcterms:modified xsi:type="dcterms:W3CDTF">2025-03-09T16:59:00Z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