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A878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2D6D">
        <w:rPr>
          <w:b/>
          <w:color w:val="000000"/>
        </w:rPr>
        <w:t xml:space="preserve">Исследование </w:t>
      </w:r>
      <w:r w:rsidR="00C87687" w:rsidRPr="00CA2D6D">
        <w:rPr>
          <w:b/>
          <w:color w:val="000000"/>
        </w:rPr>
        <w:t>вязкости композиций на основе активного разбавителя и низкомолекулярной эпоксидной смолы для</w:t>
      </w:r>
      <w:r w:rsidR="008149D0" w:rsidRPr="00CA2D6D">
        <w:rPr>
          <w:b/>
          <w:color w:val="000000"/>
        </w:rPr>
        <w:t xml:space="preserve"> определения оптимальной</w:t>
      </w:r>
      <w:r w:rsidRPr="00CA2D6D">
        <w:rPr>
          <w:b/>
          <w:color w:val="000000"/>
        </w:rPr>
        <w:t xml:space="preserve"> </w:t>
      </w:r>
      <w:r w:rsidR="008149D0" w:rsidRPr="00CA2D6D">
        <w:rPr>
          <w:b/>
          <w:color w:val="000000"/>
        </w:rPr>
        <w:t>концентрации</w:t>
      </w:r>
      <w:r w:rsidRPr="00CA2D6D">
        <w:rPr>
          <w:b/>
          <w:color w:val="000000"/>
        </w:rPr>
        <w:t xml:space="preserve"> при разработке топливостойкой грунтовки</w:t>
      </w:r>
    </w:p>
    <w:p w:rsidR="00130241" w:rsidRDefault="00B36B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Вей Пьё Чжо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Козлова Е.А.,</w:t>
      </w:r>
      <w:r w:rsidR="00EB1F49">
        <w:rPr>
          <w:b/>
          <w:i/>
          <w:color w:val="000000"/>
        </w:rPr>
        <w:t xml:space="preserve"> </w:t>
      </w:r>
      <w:r w:rsidR="00F27C9D">
        <w:rPr>
          <w:b/>
          <w:i/>
          <w:color w:val="000000"/>
        </w:rPr>
        <w:t>Фомичев А.П.,</w:t>
      </w:r>
      <w:r>
        <w:rPr>
          <w:b/>
          <w:i/>
          <w:color w:val="000000"/>
        </w:rPr>
        <w:t xml:space="preserve"> </w:t>
      </w:r>
      <w:r w:rsidR="00A878C6">
        <w:rPr>
          <w:b/>
          <w:i/>
          <w:color w:val="000000"/>
        </w:rPr>
        <w:t>Силаева А.А.</w:t>
      </w:r>
      <w:r w:rsidR="00A878C6">
        <w:rPr>
          <w:b/>
          <w:color w:val="000000"/>
        </w:rPr>
        <w:t xml:space="preserve">, </w:t>
      </w:r>
      <w:r w:rsidR="00A878C6" w:rsidRPr="00A878C6">
        <w:rPr>
          <w:b/>
          <w:i/>
          <w:color w:val="000000"/>
        </w:rPr>
        <w:t>Малявина Я.М</w:t>
      </w:r>
      <w:r>
        <w:rPr>
          <w:b/>
          <w:i/>
          <w:color w:val="000000"/>
        </w:rPr>
        <w:t>, Кирпаль Ю.Г.</w:t>
      </w:r>
    </w:p>
    <w:p w:rsidR="00130241" w:rsidRDefault="00E53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</w:t>
      </w:r>
      <w:r w:rsidR="00EB1F49">
        <w:rPr>
          <w:i/>
          <w:color w:val="000000"/>
        </w:rPr>
        <w:t xml:space="preserve">курс </w:t>
      </w:r>
      <w:r>
        <w:rPr>
          <w:i/>
          <w:color w:val="000000"/>
        </w:rPr>
        <w:t>магистратуры</w:t>
      </w:r>
    </w:p>
    <w:p w:rsidR="00A878C6" w:rsidRPr="002922E7" w:rsidRDefault="00A878C6" w:rsidP="00A878C6">
      <w:pPr>
        <w:jc w:val="center"/>
        <w:rPr>
          <w:i/>
          <w:color w:val="000000"/>
          <w:szCs w:val="27"/>
        </w:rPr>
      </w:pPr>
      <w:r w:rsidRPr="004A09B8">
        <w:rPr>
          <w:i/>
          <w:color w:val="000000"/>
          <w:vertAlign w:val="superscript"/>
        </w:rPr>
        <w:t>1</w:t>
      </w:r>
      <w:r w:rsidRPr="002922E7">
        <w:rPr>
          <w:i/>
          <w:color w:val="000000"/>
          <w:szCs w:val="27"/>
        </w:rPr>
        <w:t>Российский химико-технологический университет имени Д.И.</w:t>
      </w:r>
      <w:r>
        <w:rPr>
          <w:i/>
          <w:color w:val="000000"/>
          <w:szCs w:val="27"/>
        </w:rPr>
        <w:t xml:space="preserve"> </w:t>
      </w:r>
      <w:r w:rsidRPr="002922E7">
        <w:rPr>
          <w:i/>
          <w:color w:val="000000"/>
          <w:szCs w:val="27"/>
        </w:rPr>
        <w:t>Менделеева,</w:t>
      </w:r>
    </w:p>
    <w:p w:rsidR="00A878C6" w:rsidRPr="002922E7" w:rsidRDefault="00A878C6" w:rsidP="00A878C6">
      <w:pPr>
        <w:jc w:val="center"/>
        <w:rPr>
          <w:i/>
          <w:color w:val="000000"/>
          <w:szCs w:val="27"/>
        </w:rPr>
      </w:pPr>
      <w:r w:rsidRPr="002922E7">
        <w:rPr>
          <w:i/>
          <w:color w:val="000000"/>
          <w:szCs w:val="27"/>
        </w:rPr>
        <w:t xml:space="preserve">факультет нефтегазохимии и полимерных материалов, Москва, Россия </w:t>
      </w:r>
    </w:p>
    <w:p w:rsidR="00E531C3" w:rsidRPr="00E531C3" w:rsidRDefault="00A878C6" w:rsidP="00522FBB">
      <w:pPr>
        <w:jc w:val="center"/>
        <w:rPr>
          <w:i/>
          <w:color w:val="000000"/>
          <w:szCs w:val="27"/>
          <w:u w:val="single"/>
        </w:rPr>
      </w:pPr>
      <w:r w:rsidRPr="002922E7">
        <w:rPr>
          <w:i/>
          <w:color w:val="000000"/>
          <w:szCs w:val="27"/>
          <w:lang w:val="en-US"/>
        </w:rPr>
        <w:t>E</w:t>
      </w:r>
      <w:r w:rsidRPr="005E73D2">
        <w:rPr>
          <w:i/>
          <w:color w:val="000000"/>
          <w:szCs w:val="27"/>
        </w:rPr>
        <w:t>-</w:t>
      </w:r>
      <w:r w:rsidRPr="002922E7">
        <w:rPr>
          <w:i/>
          <w:color w:val="000000"/>
          <w:szCs w:val="27"/>
          <w:lang w:val="en-US"/>
        </w:rPr>
        <w:t>mail</w:t>
      </w:r>
      <w:r w:rsidRPr="005E73D2">
        <w:rPr>
          <w:i/>
          <w:color w:val="000000"/>
          <w:szCs w:val="27"/>
        </w:rPr>
        <w:t xml:space="preserve">: </w:t>
      </w:r>
      <w:r w:rsidR="00B36BD5" w:rsidRPr="00B36BD5">
        <w:rPr>
          <w:i/>
          <w:color w:val="000000"/>
          <w:szCs w:val="27"/>
          <w:u w:val="single"/>
        </w:rPr>
        <w:t>wpk75562@mail.ru</w:t>
      </w:r>
    </w:p>
    <w:p w:rsidR="00E531C3" w:rsidRPr="001534DC" w:rsidRDefault="00CA2D6D" w:rsidP="00E53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0202F">
        <w:t>Наиболее распространенным и эффективным методом защиты от коррозии является использование лакокрасочных покрытий, состоящих их грунтовочных и покрывных слоёв.</w:t>
      </w:r>
      <w:r>
        <w:t xml:space="preserve"> </w:t>
      </w:r>
      <w:r w:rsidR="00E531C3" w:rsidRPr="0030202F">
        <w:t xml:space="preserve">Располагаясь в качестве промежуточного слоя на границе раздела подложка – покрытие, </w:t>
      </w:r>
      <w:r w:rsidR="00E531C3">
        <w:t>грунтовка обеспечивает</w:t>
      </w:r>
      <w:r w:rsidR="00E531C3" w:rsidRPr="0030202F">
        <w:t xml:space="preserve"> высокую адгезию к металлу и стабильность защитных свойств, тем самым обеспечивая продолжительность эксплуатации компл</w:t>
      </w:r>
      <w:r w:rsidR="001534DC">
        <w:t>ексного лакокрасочного покрытия</w:t>
      </w:r>
      <w:r w:rsidR="001534DC" w:rsidRPr="001534DC">
        <w:t xml:space="preserve"> </w:t>
      </w:r>
      <w:r w:rsidR="00E531C3" w:rsidRPr="005E73D2">
        <w:t>[1</w:t>
      </w:r>
      <w:r>
        <w:t>, 2</w:t>
      </w:r>
      <w:r w:rsidR="00E531C3" w:rsidRPr="005E73D2">
        <w:t>]</w:t>
      </w:r>
      <w:r w:rsidR="001534DC" w:rsidRPr="001534DC">
        <w:t>.</w:t>
      </w:r>
    </w:p>
    <w:p w:rsidR="00121FAD" w:rsidRPr="002210AC" w:rsidRDefault="00121FAD" w:rsidP="00121F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vertAlign w:val="subscript"/>
        </w:rPr>
      </w:pPr>
      <w:r w:rsidRPr="00121FAD">
        <w:t>Задаваясь задачей разработать грунт</w:t>
      </w:r>
      <w:r>
        <w:t>овку</w:t>
      </w:r>
      <w:r w:rsidRPr="00121FAD">
        <w:t xml:space="preserve"> с высоким сухим остатком и адекватными технологическими характеристиками, на первом этапе работы </w:t>
      </w:r>
      <w:r>
        <w:t xml:space="preserve">была изучена </w:t>
      </w:r>
      <w:r w:rsidRPr="00121FAD">
        <w:t xml:space="preserve"> возможность введения в </w:t>
      </w:r>
      <w:r w:rsidR="00C87687">
        <w:t>композицию на основе низкомолекулярной смолы</w:t>
      </w:r>
      <w:r w:rsidRPr="00121FAD">
        <w:t xml:space="preserve"> активных разбавителей. Для этого были </w:t>
      </w:r>
      <w:r>
        <w:t xml:space="preserve">рассмотрены 3 активных разбавителя – </w:t>
      </w:r>
      <w:proofErr w:type="spellStart"/>
      <w:r w:rsidR="002210AC">
        <w:t>диглицидиловый</w:t>
      </w:r>
      <w:proofErr w:type="spellEnd"/>
      <w:r w:rsidR="002210AC">
        <w:t xml:space="preserve"> эфир 1,4-бутандиола</w:t>
      </w:r>
      <w:r>
        <w:t xml:space="preserve">, </w:t>
      </w:r>
      <w:proofErr w:type="spellStart"/>
      <w:r w:rsidR="002210AC">
        <w:t>моноглицидиловый</w:t>
      </w:r>
      <w:proofErr w:type="spellEnd"/>
      <w:r w:rsidR="002210AC">
        <w:t xml:space="preserve"> эфир </w:t>
      </w:r>
      <w:proofErr w:type="spellStart"/>
      <w:r w:rsidR="002210AC">
        <w:t>алкилфенола</w:t>
      </w:r>
      <w:proofErr w:type="spellEnd"/>
      <w:r>
        <w:t xml:space="preserve"> и </w:t>
      </w:r>
      <w:r w:rsidR="008C478D">
        <w:t>C</w:t>
      </w:r>
      <w:r w:rsidR="008C478D">
        <w:rPr>
          <w:vertAlign w:val="subscript"/>
        </w:rPr>
        <w:t>12</w:t>
      </w:r>
      <w:r w:rsidR="008C478D">
        <w:t>-</w:t>
      </w:r>
      <w:r w:rsidR="008C478D">
        <w:rPr>
          <w:vertAlign w:val="subscript"/>
        </w:rPr>
        <w:t>14</w:t>
      </w:r>
      <w:r w:rsidR="008C478D" w:rsidRPr="008C478D">
        <w:t xml:space="preserve"> алкил </w:t>
      </w:r>
      <w:proofErr w:type="spellStart"/>
      <w:r w:rsidR="008C478D" w:rsidRPr="008C478D">
        <w:t>глицидиловый</w:t>
      </w:r>
      <w:proofErr w:type="spellEnd"/>
      <w:r w:rsidR="008C478D" w:rsidRPr="008C478D">
        <w:t xml:space="preserve"> эфир</w:t>
      </w:r>
      <w:r w:rsidR="008C478D">
        <w:t>.</w:t>
      </w:r>
    </w:p>
    <w:p w:rsidR="00121FAD" w:rsidRDefault="00121FAD" w:rsidP="00121F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>
        <w:rPr>
          <w:rFonts w:eastAsia="Calibri"/>
        </w:rPr>
        <w:t>Для определен</w:t>
      </w:r>
      <w:r w:rsidR="002210AC">
        <w:rPr>
          <w:rFonts w:eastAsia="Calibri"/>
        </w:rPr>
        <w:t>ия концентрации растворителя и р</w:t>
      </w:r>
      <w:r>
        <w:rPr>
          <w:rFonts w:eastAsia="Calibri"/>
        </w:rPr>
        <w:t>азбавителя, с целью создания материала с высоким содержанием сухого остатка,</w:t>
      </w:r>
      <w:r w:rsidRPr="006B4D3A">
        <w:rPr>
          <w:rFonts w:eastAsia="Calibri"/>
        </w:rPr>
        <w:t xml:space="preserve"> были построены кривые вязкости</w:t>
      </w:r>
      <w:r w:rsidR="00F07716">
        <w:rPr>
          <w:rFonts w:eastAsia="Calibri"/>
        </w:rPr>
        <w:t xml:space="preserve"> (рисунок 1)</w:t>
      </w:r>
      <w:r w:rsidRPr="00121FAD">
        <w:rPr>
          <w:rFonts w:eastAsia="Calibri"/>
        </w:rPr>
        <w:t xml:space="preserve"> </w:t>
      </w:r>
      <w:r>
        <w:rPr>
          <w:rFonts w:eastAsia="Calibri"/>
        </w:rPr>
        <w:t>для каждого из исследуемых разбавителей</w:t>
      </w:r>
      <w:r w:rsidR="00F27C9D">
        <w:rPr>
          <w:rFonts w:eastAsia="Calibri"/>
        </w:rPr>
        <w:t xml:space="preserve">. </w:t>
      </w:r>
      <w:r w:rsidR="00522FBB" w:rsidRPr="006B4D3A">
        <w:rPr>
          <w:rFonts w:eastAsia="Calibri"/>
        </w:rPr>
        <w:t>Кажущаяся вязкость данных смесей измерялась на вискозиметре</w:t>
      </w:r>
      <w:r w:rsidR="00522FBB">
        <w:rPr>
          <w:rFonts w:eastAsia="Calibri"/>
        </w:rPr>
        <w:t xml:space="preserve"> </w:t>
      </w:r>
      <w:proofErr w:type="spellStart"/>
      <w:r w:rsidR="00522FBB">
        <w:rPr>
          <w:rFonts w:eastAsia="Calibri"/>
        </w:rPr>
        <w:t>Брукфильда</w:t>
      </w:r>
      <w:proofErr w:type="spellEnd"/>
      <w:r w:rsidR="00522FBB">
        <w:rPr>
          <w:rFonts w:eastAsia="Calibri"/>
        </w:rPr>
        <w:t>.</w:t>
      </w:r>
    </w:p>
    <w:p w:rsidR="00F27C9D" w:rsidRPr="00F07716" w:rsidRDefault="00B32C68" w:rsidP="00F27C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="Calibri"/>
        </w:rPr>
      </w:pPr>
      <w:r w:rsidRPr="00B32C68">
        <w:rPr>
          <w:rFonts w:eastAsia="Calibri"/>
          <w:noProof/>
        </w:rPr>
        <w:drawing>
          <wp:inline distT="0" distB="0" distL="0" distR="0">
            <wp:extent cx="5267325" cy="29146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B32C68">
        <w:rPr>
          <w:rFonts w:eastAsia="Calibri"/>
          <w:noProof/>
        </w:rPr>
        <w:t xml:space="preserve"> </w:t>
      </w:r>
    </w:p>
    <w:p w:rsidR="00F07716" w:rsidRDefault="00F07716" w:rsidP="007564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Calibri"/>
        </w:rPr>
      </w:pPr>
      <w:r>
        <w:rPr>
          <w:rFonts w:eastAsia="Calibri"/>
        </w:rPr>
        <w:t>Рис. 1.</w:t>
      </w:r>
      <w:r w:rsidR="00330B87">
        <w:rPr>
          <w:rFonts w:eastAsia="Calibri"/>
        </w:rPr>
        <w:t xml:space="preserve"> Кривые вязкости</w:t>
      </w:r>
      <w:r w:rsidR="00F27C9D">
        <w:rPr>
          <w:rFonts w:eastAsia="Calibri"/>
        </w:rPr>
        <w:t xml:space="preserve"> для определения оптимальной концентрации активного разбавителя</w:t>
      </w:r>
    </w:p>
    <w:p w:rsidR="00330B87" w:rsidRPr="008C478D" w:rsidRDefault="00330B87" w:rsidP="008C47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vertAlign w:val="subscript"/>
        </w:rPr>
      </w:pPr>
      <w:r>
        <w:rPr>
          <w:rFonts w:eastAsia="Calibri"/>
        </w:rPr>
        <w:t>По данным вязкостным кривым был сделан вывод, что оптимальная концентрация для разбавителя</w:t>
      </w:r>
      <w:r w:rsidR="008C478D">
        <w:rPr>
          <w:rFonts w:eastAsia="Calibri"/>
        </w:rPr>
        <w:t>, состоящего из</w:t>
      </w:r>
      <w:r>
        <w:rPr>
          <w:rFonts w:eastAsia="Calibri"/>
        </w:rPr>
        <w:t xml:space="preserve"> </w:t>
      </w:r>
      <w:r w:rsidR="008C478D">
        <w:t>C</w:t>
      </w:r>
      <w:r w:rsidR="008C478D">
        <w:rPr>
          <w:vertAlign w:val="subscript"/>
        </w:rPr>
        <w:t>12</w:t>
      </w:r>
      <w:r w:rsidR="008C478D">
        <w:t>-</w:t>
      </w:r>
      <w:r w:rsidR="008C478D">
        <w:rPr>
          <w:vertAlign w:val="subscript"/>
        </w:rPr>
        <w:t>14</w:t>
      </w:r>
      <w:r w:rsidR="008C478D">
        <w:t xml:space="preserve"> алкил </w:t>
      </w:r>
      <w:proofErr w:type="spellStart"/>
      <w:r w:rsidR="008C478D">
        <w:t>глицидилового</w:t>
      </w:r>
      <w:proofErr w:type="spellEnd"/>
      <w:r w:rsidR="008C478D" w:rsidRPr="008C478D">
        <w:t xml:space="preserve"> эфир</w:t>
      </w:r>
      <w:r w:rsidR="008C478D">
        <w:t>а</w:t>
      </w:r>
      <w:r w:rsidR="008C478D">
        <w:rPr>
          <w:rFonts w:eastAsia="Calibri"/>
        </w:rPr>
        <w:t xml:space="preserve"> </w:t>
      </w:r>
      <w:r>
        <w:rPr>
          <w:rFonts w:eastAsia="Calibri"/>
        </w:rPr>
        <w:t xml:space="preserve">составляет 35% относительно </w:t>
      </w:r>
      <w:r w:rsidR="008C478D" w:rsidRPr="008C478D">
        <w:rPr>
          <w:rFonts w:eastAsia="Calibri"/>
        </w:rPr>
        <w:t xml:space="preserve">сухой </w:t>
      </w:r>
      <w:r w:rsidR="008C478D" w:rsidRPr="008C478D">
        <w:rPr>
          <w:rFonts w:eastAsia="Calibri"/>
          <w:bCs/>
        </w:rPr>
        <w:t>диановой эпоксидной смолы</w:t>
      </w:r>
      <w:r w:rsidRPr="00330B87">
        <w:rPr>
          <w:rFonts w:eastAsia="Calibri"/>
        </w:rPr>
        <w:t xml:space="preserve">, </w:t>
      </w:r>
      <w:r>
        <w:rPr>
          <w:rFonts w:eastAsia="Calibri"/>
        </w:rPr>
        <w:t xml:space="preserve">а для </w:t>
      </w:r>
      <w:proofErr w:type="spellStart"/>
      <w:r w:rsidR="008C478D">
        <w:t>диглицидилового</w:t>
      </w:r>
      <w:proofErr w:type="spellEnd"/>
      <w:r w:rsidR="008C478D">
        <w:t xml:space="preserve"> эфира 1,4-бутандиола</w:t>
      </w:r>
      <w:r>
        <w:rPr>
          <w:rFonts w:eastAsia="Calibri"/>
        </w:rPr>
        <w:t xml:space="preserve"> и </w:t>
      </w:r>
      <w:proofErr w:type="spellStart"/>
      <w:r w:rsidR="008C478D">
        <w:t>моноглицидилового</w:t>
      </w:r>
      <w:proofErr w:type="spellEnd"/>
      <w:r w:rsidR="008C478D">
        <w:t xml:space="preserve"> эфира </w:t>
      </w:r>
      <w:proofErr w:type="spellStart"/>
      <w:r w:rsidR="008C478D">
        <w:t>алкилфенола</w:t>
      </w:r>
      <w:proofErr w:type="spellEnd"/>
      <w:r>
        <w:rPr>
          <w:rFonts w:eastAsia="Calibri"/>
        </w:rPr>
        <w:t xml:space="preserve"> – 30%.</w:t>
      </w:r>
    </w:p>
    <w:p w:rsidR="001B35E2" w:rsidRPr="001B35E2" w:rsidRDefault="00EB1F49" w:rsidP="001B3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CA2D6D" w:rsidRPr="00CA2D6D" w:rsidRDefault="0099521A" w:rsidP="00CA2D6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Дринберг</w:t>
      </w:r>
      <w:proofErr w:type="spellEnd"/>
      <w:r w:rsidR="00CA2D6D" w:rsidRPr="00CA2D6D">
        <w:rPr>
          <w:color w:val="000000"/>
        </w:rPr>
        <w:t xml:space="preserve"> A.C. Антикоррозионные грунтовки / A.C. </w:t>
      </w:r>
      <w:proofErr w:type="spellStart"/>
      <w:r w:rsidR="00CA2D6D" w:rsidRPr="00CA2D6D">
        <w:rPr>
          <w:color w:val="000000"/>
        </w:rPr>
        <w:t>Дринберг</w:t>
      </w:r>
      <w:proofErr w:type="spellEnd"/>
      <w:r w:rsidR="00CA2D6D" w:rsidRPr="00CA2D6D">
        <w:rPr>
          <w:color w:val="000000"/>
        </w:rPr>
        <w:t xml:space="preserve">, Э.Ф. </w:t>
      </w:r>
      <w:proofErr w:type="spellStart"/>
      <w:r w:rsidR="00CA2D6D" w:rsidRPr="00CA2D6D">
        <w:rPr>
          <w:color w:val="000000"/>
        </w:rPr>
        <w:t>Ицко</w:t>
      </w:r>
      <w:proofErr w:type="spellEnd"/>
      <w:r w:rsidR="00CA2D6D" w:rsidRPr="00CA2D6D">
        <w:rPr>
          <w:color w:val="000000"/>
        </w:rPr>
        <w:t xml:space="preserve">, Т.В. </w:t>
      </w:r>
      <w:proofErr w:type="spellStart"/>
      <w:r w:rsidR="00CA2D6D" w:rsidRPr="00CA2D6D">
        <w:rPr>
          <w:color w:val="000000"/>
        </w:rPr>
        <w:t>Калинская</w:t>
      </w:r>
      <w:proofErr w:type="spellEnd"/>
      <w:r w:rsidR="00CA2D6D" w:rsidRPr="00CA2D6D">
        <w:rPr>
          <w:color w:val="000000"/>
        </w:rPr>
        <w:t xml:space="preserve"> изд. 2-е, </w:t>
      </w:r>
      <w:proofErr w:type="spellStart"/>
      <w:r w:rsidR="00CA2D6D" w:rsidRPr="00CA2D6D">
        <w:rPr>
          <w:color w:val="000000"/>
        </w:rPr>
        <w:t>испр</w:t>
      </w:r>
      <w:proofErr w:type="spellEnd"/>
      <w:r w:rsidR="00CA2D6D" w:rsidRPr="00CA2D6D">
        <w:rPr>
          <w:color w:val="000000"/>
        </w:rPr>
        <w:t>. - М.: ООО «</w:t>
      </w:r>
      <w:proofErr w:type="spellStart"/>
      <w:r w:rsidR="00CA2D6D" w:rsidRPr="00CA2D6D">
        <w:rPr>
          <w:color w:val="000000"/>
        </w:rPr>
        <w:t>Пэйнт-Медиа</w:t>
      </w:r>
      <w:proofErr w:type="spellEnd"/>
      <w:r w:rsidR="00CA2D6D" w:rsidRPr="00CA2D6D">
        <w:rPr>
          <w:color w:val="000000"/>
        </w:rPr>
        <w:t xml:space="preserve">», 2008. -168 </w:t>
      </w:r>
      <w:proofErr w:type="gramStart"/>
      <w:r w:rsidR="00CA2D6D" w:rsidRPr="00CA2D6D">
        <w:rPr>
          <w:color w:val="000000"/>
        </w:rPr>
        <w:t>с</w:t>
      </w:r>
      <w:proofErr w:type="gramEnd"/>
      <w:r w:rsidR="00CA2D6D" w:rsidRPr="00CA2D6D">
        <w:rPr>
          <w:color w:val="000000"/>
        </w:rPr>
        <w:t>.</w:t>
      </w:r>
    </w:p>
    <w:p w:rsidR="00CA2D6D" w:rsidRPr="00727AB3" w:rsidRDefault="0099521A" w:rsidP="00107AA3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Рейбман</w:t>
      </w:r>
      <w:proofErr w:type="spellEnd"/>
      <w:r>
        <w:rPr>
          <w:color w:val="000000"/>
        </w:rPr>
        <w:t xml:space="preserve"> А.И. Защитные лакокрасочные покрытия. - 5-е изд.,</w:t>
      </w:r>
      <w:r w:rsidRPr="0099521A">
        <w:rPr>
          <w:rFonts w:eastAsia="Calibri"/>
        </w:rPr>
        <w:t xml:space="preserve"> </w:t>
      </w:r>
      <w:r w:rsidRPr="008526E5">
        <w:rPr>
          <w:rFonts w:eastAsia="Calibri"/>
        </w:rPr>
        <w:t>пер. и доп. изд.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–Л</w:t>
      </w:r>
      <w:proofErr w:type="gramEnd"/>
      <w:r>
        <w:rPr>
          <w:rFonts w:eastAsia="Calibri"/>
        </w:rPr>
        <w:t>.: Химия, 1982 – 320 с., ил.</w:t>
      </w:r>
    </w:p>
    <w:sectPr w:rsidR="00CA2D6D" w:rsidRPr="00727AB3" w:rsidSect="00707C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7F07B0" w15:done="0"/>
  <w15:commentEx w15:paraId="6B56F1F5" w15:done="0"/>
  <w15:commentEx w15:paraId="018D2A23" w15:done="0"/>
  <w15:commentEx w15:paraId="1F962402" w15:done="0"/>
  <w15:commentEx w15:paraId="5DF029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7F07B0" w16cid:durableId="2B68516B"/>
  <w16cid:commentId w16cid:paraId="6B56F1F5" w16cid:durableId="2B6851BB"/>
  <w16cid:commentId w16cid:paraId="018D2A23" w16cid:durableId="2B6851AC"/>
  <w16cid:commentId w16cid:paraId="1F962402" w16cid:durableId="2B6851F0"/>
  <w16cid:commentId w16cid:paraId="5DF02968" w16cid:durableId="2B6851F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7374D"/>
    <w:multiLevelType w:val="hybridMultilevel"/>
    <w:tmpl w:val="9F70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213ED"/>
    <w:multiLevelType w:val="hybridMultilevel"/>
    <w:tmpl w:val="B72ED704"/>
    <w:lvl w:ilvl="0" w:tplc="27E87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9906783"/>
    <w:multiLevelType w:val="hybridMultilevel"/>
    <w:tmpl w:val="0CBAA024"/>
    <w:lvl w:ilvl="0" w:tplc="6212B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Силаева Анна Александровна">
    <w15:presenceInfo w15:providerId="AD" w15:userId="S-1-5-21-2405113641-4154809295-2853305532-301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15375"/>
    <w:rsid w:val="00063966"/>
    <w:rsid w:val="00075D6E"/>
    <w:rsid w:val="00086081"/>
    <w:rsid w:val="0009449A"/>
    <w:rsid w:val="00094FD0"/>
    <w:rsid w:val="000E334E"/>
    <w:rsid w:val="00101930"/>
    <w:rsid w:val="00101A1C"/>
    <w:rsid w:val="00103657"/>
    <w:rsid w:val="00106375"/>
    <w:rsid w:val="00107AA3"/>
    <w:rsid w:val="0011373A"/>
    <w:rsid w:val="00116478"/>
    <w:rsid w:val="00121FAD"/>
    <w:rsid w:val="00130241"/>
    <w:rsid w:val="001534DC"/>
    <w:rsid w:val="001B35E2"/>
    <w:rsid w:val="001E61C2"/>
    <w:rsid w:val="001F0493"/>
    <w:rsid w:val="002210AC"/>
    <w:rsid w:val="0022260A"/>
    <w:rsid w:val="002264EE"/>
    <w:rsid w:val="0023307C"/>
    <w:rsid w:val="00237E07"/>
    <w:rsid w:val="0030202F"/>
    <w:rsid w:val="0031361E"/>
    <w:rsid w:val="00330B87"/>
    <w:rsid w:val="003467BC"/>
    <w:rsid w:val="00391C38"/>
    <w:rsid w:val="003B76D6"/>
    <w:rsid w:val="003B7BF8"/>
    <w:rsid w:val="003E2601"/>
    <w:rsid w:val="003F4E6B"/>
    <w:rsid w:val="00443C25"/>
    <w:rsid w:val="00484660"/>
    <w:rsid w:val="004A26A3"/>
    <w:rsid w:val="004D3940"/>
    <w:rsid w:val="004F0EDF"/>
    <w:rsid w:val="004F2D18"/>
    <w:rsid w:val="00522BF1"/>
    <w:rsid w:val="00522FBB"/>
    <w:rsid w:val="00590166"/>
    <w:rsid w:val="005D022B"/>
    <w:rsid w:val="005E5BE9"/>
    <w:rsid w:val="005E73D2"/>
    <w:rsid w:val="00676E99"/>
    <w:rsid w:val="0069427D"/>
    <w:rsid w:val="006F7A19"/>
    <w:rsid w:val="0070696F"/>
    <w:rsid w:val="00707C1D"/>
    <w:rsid w:val="007213E1"/>
    <w:rsid w:val="00727AB3"/>
    <w:rsid w:val="007564B9"/>
    <w:rsid w:val="00775389"/>
    <w:rsid w:val="00797838"/>
    <w:rsid w:val="007A7D3D"/>
    <w:rsid w:val="007C36D8"/>
    <w:rsid w:val="007D2AAB"/>
    <w:rsid w:val="007F2744"/>
    <w:rsid w:val="008149D0"/>
    <w:rsid w:val="008931BE"/>
    <w:rsid w:val="008C478D"/>
    <w:rsid w:val="008C67E3"/>
    <w:rsid w:val="00914205"/>
    <w:rsid w:val="00921D45"/>
    <w:rsid w:val="009426C0"/>
    <w:rsid w:val="00963493"/>
    <w:rsid w:val="00980A65"/>
    <w:rsid w:val="0099521A"/>
    <w:rsid w:val="009A66DB"/>
    <w:rsid w:val="009B2F80"/>
    <w:rsid w:val="009B3300"/>
    <w:rsid w:val="009F3380"/>
    <w:rsid w:val="00A02163"/>
    <w:rsid w:val="00A314FE"/>
    <w:rsid w:val="00A878C6"/>
    <w:rsid w:val="00AB199F"/>
    <w:rsid w:val="00AD7380"/>
    <w:rsid w:val="00B32C68"/>
    <w:rsid w:val="00B32D10"/>
    <w:rsid w:val="00B36BD5"/>
    <w:rsid w:val="00BF36F8"/>
    <w:rsid w:val="00BF4622"/>
    <w:rsid w:val="00C844E2"/>
    <w:rsid w:val="00C87687"/>
    <w:rsid w:val="00CA2D6D"/>
    <w:rsid w:val="00CD00B1"/>
    <w:rsid w:val="00D22306"/>
    <w:rsid w:val="00D33A06"/>
    <w:rsid w:val="00D42542"/>
    <w:rsid w:val="00D4366F"/>
    <w:rsid w:val="00D8121C"/>
    <w:rsid w:val="00E22189"/>
    <w:rsid w:val="00E531C3"/>
    <w:rsid w:val="00E74069"/>
    <w:rsid w:val="00E81D35"/>
    <w:rsid w:val="00EA09DD"/>
    <w:rsid w:val="00EB1F49"/>
    <w:rsid w:val="00F07716"/>
    <w:rsid w:val="00F27C9D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37E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37E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37E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37E0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37E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37E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237E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37E0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37E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5E7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27C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7C9D"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C876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8768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7687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68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8768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1;&#1072;&#1087;&#1088;&#1086;&#1082;&#1089;&#1080;&#1076;%20&#1040;&#1060;%20&#1096;&#1087;&#1080;&#1085;&#1076;&#1077;&#1083;&#1100;%206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2521549456885766E-2"/>
          <c:y val="3.7786351495447366E-2"/>
          <c:w val="0.91332823754539394"/>
          <c:h val="0.79817305140228267"/>
        </c:manualLayout>
      </c:layout>
      <c:scatterChart>
        <c:scatterStyle val="line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диглицидиловый эфир 1,4-бутандиола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chemeClr val="accent6"/>
              </a:solidFill>
              <a:ln>
                <a:solidFill>
                  <a:srgbClr val="F79646"/>
                </a:solidFill>
              </a:ln>
            </c:spPr>
          </c:marker>
          <c:trendline>
            <c:spPr>
              <a:ln w="15875">
                <a:solidFill>
                  <a:schemeClr val="accent6"/>
                </a:solidFill>
              </a:ln>
            </c:spPr>
            <c:trendlineType val="power"/>
          </c:trendline>
          <c:xVal>
            <c:numRef>
              <c:f>Лист1!$A$2:$A$10</c:f>
              <c:numCache>
                <c:formatCode>General</c:formatCode>
                <c:ptCount val="9"/>
                <c:pt idx="0">
                  <c:v>100</c:v>
                </c:pt>
                <c:pt idx="1">
                  <c:v>90</c:v>
                </c:pt>
                <c:pt idx="2">
                  <c:v>80</c:v>
                </c:pt>
                <c:pt idx="3">
                  <c:v>70</c:v>
                </c:pt>
                <c:pt idx="4">
                  <c:v>60</c:v>
                </c:pt>
                <c:pt idx="5">
                  <c:v>50</c:v>
                </c:pt>
                <c:pt idx="6">
                  <c:v>40</c:v>
                </c:pt>
                <c:pt idx="7">
                  <c:v>30</c:v>
                </c:pt>
                <c:pt idx="8">
                  <c:v>20</c:v>
                </c:pt>
              </c:numCache>
            </c:numRef>
          </c:xVal>
          <c:yVal>
            <c:numRef>
              <c:f>Лист1!$B$2:$B$10</c:f>
              <c:numCache>
                <c:formatCode>General</c:formatCode>
                <c:ptCount val="9"/>
                <c:pt idx="0">
                  <c:v>128.4</c:v>
                </c:pt>
                <c:pt idx="1">
                  <c:v>142</c:v>
                </c:pt>
                <c:pt idx="2">
                  <c:v>162</c:v>
                </c:pt>
                <c:pt idx="3">
                  <c:v>194</c:v>
                </c:pt>
                <c:pt idx="4">
                  <c:v>214</c:v>
                </c:pt>
                <c:pt idx="5">
                  <c:v>335.9</c:v>
                </c:pt>
                <c:pt idx="6">
                  <c:v>464</c:v>
                </c:pt>
                <c:pt idx="7">
                  <c:v>844</c:v>
                </c:pt>
                <c:pt idx="8">
                  <c:v>1350</c:v>
                </c:pt>
              </c:numCache>
            </c:numRef>
          </c:y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C12-14 алкил глицидиловый эфир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</c:spPr>
          </c:marker>
          <c:trendline>
            <c:spPr>
              <a:ln w="15875">
                <a:solidFill>
                  <a:srgbClr val="92D050"/>
                </a:solidFill>
              </a:ln>
            </c:spPr>
            <c:trendlineType val="power"/>
          </c:trendline>
          <c:xVal>
            <c:numRef>
              <c:f>Лист1!$A$2:$A$10</c:f>
              <c:numCache>
                <c:formatCode>General</c:formatCode>
                <c:ptCount val="9"/>
                <c:pt idx="0">
                  <c:v>100</c:v>
                </c:pt>
                <c:pt idx="1">
                  <c:v>90</c:v>
                </c:pt>
                <c:pt idx="2">
                  <c:v>80</c:v>
                </c:pt>
                <c:pt idx="3">
                  <c:v>70</c:v>
                </c:pt>
                <c:pt idx="4">
                  <c:v>60</c:v>
                </c:pt>
                <c:pt idx="5">
                  <c:v>50</c:v>
                </c:pt>
                <c:pt idx="6">
                  <c:v>40</c:v>
                </c:pt>
                <c:pt idx="7">
                  <c:v>30</c:v>
                </c:pt>
                <c:pt idx="8">
                  <c:v>20</c:v>
                </c:pt>
              </c:numCache>
            </c:numRef>
          </c:xVal>
          <c:yVal>
            <c:numRef>
              <c:f>Лист1!$C$2:$C$10</c:f>
              <c:numCache>
                <c:formatCode>General</c:formatCode>
                <c:ptCount val="9"/>
                <c:pt idx="2">
                  <c:v>122.4</c:v>
                </c:pt>
                <c:pt idx="3">
                  <c:v>136.80000000000001</c:v>
                </c:pt>
                <c:pt idx="4">
                  <c:v>190.8</c:v>
                </c:pt>
                <c:pt idx="5">
                  <c:v>286.7</c:v>
                </c:pt>
                <c:pt idx="6">
                  <c:v>410.3</c:v>
                </c:pt>
                <c:pt idx="7">
                  <c:v>617.9</c:v>
                </c:pt>
                <c:pt idx="8">
                  <c:v>1007</c:v>
                </c:pt>
              </c:numCache>
            </c:numRef>
          </c:y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моноглицидиловый эфир алкилфенола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5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trendline>
            <c:spPr>
              <a:ln w="15875">
                <a:solidFill>
                  <a:srgbClr val="00B0F0"/>
                </a:solidFill>
              </a:ln>
            </c:spPr>
            <c:trendlineType val="power"/>
          </c:trendline>
          <c:xVal>
            <c:numRef>
              <c:f>Лист1!$A$2:$A$10</c:f>
              <c:numCache>
                <c:formatCode>General</c:formatCode>
                <c:ptCount val="9"/>
                <c:pt idx="0">
                  <c:v>100</c:v>
                </c:pt>
                <c:pt idx="1">
                  <c:v>90</c:v>
                </c:pt>
                <c:pt idx="2">
                  <c:v>80</c:v>
                </c:pt>
                <c:pt idx="3">
                  <c:v>70</c:v>
                </c:pt>
                <c:pt idx="4">
                  <c:v>60</c:v>
                </c:pt>
                <c:pt idx="5">
                  <c:v>50</c:v>
                </c:pt>
                <c:pt idx="6">
                  <c:v>40</c:v>
                </c:pt>
                <c:pt idx="7">
                  <c:v>30</c:v>
                </c:pt>
                <c:pt idx="8">
                  <c:v>20</c:v>
                </c:pt>
              </c:numCache>
            </c:numRef>
          </c:xVal>
          <c:yVal>
            <c:numRef>
              <c:f>Лист1!$D$2:$D$10</c:f>
              <c:numCache>
                <c:formatCode>General</c:formatCode>
                <c:ptCount val="9"/>
                <c:pt idx="1">
                  <c:v>599.9</c:v>
                </c:pt>
                <c:pt idx="2">
                  <c:v>677.9</c:v>
                </c:pt>
                <c:pt idx="3">
                  <c:v>797.8</c:v>
                </c:pt>
                <c:pt idx="4">
                  <c:v>941.8</c:v>
                </c:pt>
                <c:pt idx="5">
                  <c:v>1074</c:v>
                </c:pt>
                <c:pt idx="6">
                  <c:v>1644</c:v>
                </c:pt>
                <c:pt idx="7">
                  <c:v>2304</c:v>
                </c:pt>
                <c:pt idx="8">
                  <c:v>3821</c:v>
                </c:pt>
              </c:numCache>
            </c:numRef>
          </c:yVal>
        </c:ser>
        <c:axId val="120819072"/>
        <c:axId val="120821248"/>
      </c:scatterChart>
      <c:valAx>
        <c:axId val="120819072"/>
        <c:scaling>
          <c:orientation val="minMax"/>
        </c:scaling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900">
                    <a:latin typeface="Times New Roman" pitchFamily="18" charset="0"/>
                    <a:cs typeface="Times New Roman" pitchFamily="18" charset="0"/>
                  </a:rPr>
                  <a:t>Содержани</a:t>
                </a:r>
                <a:r>
                  <a:rPr lang="ru-RU" sz="900" baseline="0">
                    <a:latin typeface="Times New Roman" pitchFamily="18" charset="0"/>
                    <a:cs typeface="Times New Roman" pitchFamily="18" charset="0"/>
                  </a:rPr>
                  <a:t>е активного разбавителя от массы сухой </a:t>
                </a:r>
                <a:r>
                  <a:rPr lang="ru-RU" sz="900" b="1" i="0" u="none" strike="noStrike" baseline="0">
                    <a:latin typeface="Times New Roman" pitchFamily="18" charset="0"/>
                    <a:cs typeface="Times New Roman" pitchFamily="18" charset="0"/>
                  </a:rPr>
                  <a:t>диановой эпоксидной смолы,</a:t>
                </a:r>
                <a:r>
                  <a:rPr lang="en-US" sz="900" baseline="0">
                    <a:latin typeface="Times New Roman" pitchFamily="18" charset="0"/>
                    <a:cs typeface="Times New Roman" pitchFamily="18" charset="0"/>
                  </a:rPr>
                  <a:t> %</a:t>
                </a:r>
                <a:endParaRPr lang="ru-RU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1465082089681429"/>
              <c:y val="0.92424431245656868"/>
            </c:manualLayout>
          </c:layout>
        </c:title>
        <c:numFmt formatCode="General" sourceLinked="1"/>
        <c:tickLblPos val="nextTo"/>
        <c:crossAx val="120821248"/>
        <c:crosses val="autoZero"/>
        <c:crossBetween val="midCat"/>
        <c:majorUnit val="10"/>
      </c:valAx>
      <c:valAx>
        <c:axId val="120821248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100" b="1" i="0" baseline="0">
                    <a:latin typeface="Times New Roman" pitchFamily="18" charset="0"/>
                    <a:cs typeface="Times New Roman" pitchFamily="18" charset="0"/>
                  </a:rPr>
                  <a:t>η</a:t>
                </a:r>
                <a:r>
                  <a:rPr lang="en-US" sz="1100" b="1" i="0" baseline="0">
                    <a:latin typeface="Times New Roman" pitchFamily="18" charset="0"/>
                    <a:cs typeface="Times New Roman" pitchFamily="18" charset="0"/>
                  </a:rPr>
                  <a:t>, cP</a:t>
                </a:r>
                <a:endParaRPr lang="ru-RU" sz="1100" b="1" i="0" baseline="0">
                  <a:latin typeface="Times New Roman" pitchFamily="18" charset="0"/>
                  <a:cs typeface="Times New Roman" pitchFamily="18" charset="0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rich>
          </c:tx>
          <c:layout>
            <c:manualLayout>
              <c:xMode val="edge"/>
              <c:yMode val="edge"/>
              <c:x val="8.3814003447588867E-2"/>
              <c:y val="5.0695735105183916E-2"/>
            </c:manualLayout>
          </c:layout>
        </c:title>
        <c:numFmt formatCode="General" sourceLinked="1"/>
        <c:tickLblPos val="nextTo"/>
        <c:crossAx val="120819072"/>
        <c:crosses val="autoZero"/>
        <c:crossBetween val="midCat"/>
        <c:majorUnit val="500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66973520714974022"/>
          <c:y val="6.3035012780265215E-2"/>
          <c:w val="0.2670588961189978"/>
          <c:h val="0.41781551815826973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241EFE-CFF6-4991-8555-E7B2981D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2025-03-02T18:04:00Z</dcterms:created>
  <dcterms:modified xsi:type="dcterms:W3CDTF">2025-03-02T19:20:00Z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