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70A5B" w14:textId="58D0C204" w:rsidR="00FB268D" w:rsidRDefault="00D933A9">
      <w:pPr>
        <w:shd w:val="clear" w:color="auto" w:fill="FFFFFF"/>
        <w:jc w:val="center"/>
        <w:rPr>
          <w:b/>
          <w:color w:val="000000"/>
        </w:rPr>
      </w:pPr>
      <w:bookmarkStart w:id="0" w:name="_Hlk189729488"/>
      <w:r>
        <w:rPr>
          <w:b/>
          <w:color w:val="000000"/>
        </w:rPr>
        <w:t xml:space="preserve">Особенности </w:t>
      </w:r>
      <w:r w:rsidR="00F70067">
        <w:rPr>
          <w:b/>
          <w:color w:val="000000"/>
        </w:rPr>
        <w:t xml:space="preserve">поведения </w:t>
      </w:r>
      <w:r>
        <w:rPr>
          <w:b/>
          <w:color w:val="000000"/>
          <w:lang w:val="en-US"/>
        </w:rPr>
        <w:t>Yb</w:t>
      </w:r>
      <w:r>
        <w:rPr>
          <w:b/>
          <w:color w:val="000000"/>
        </w:rPr>
        <w:t xml:space="preserve"> и </w:t>
      </w:r>
      <w:r>
        <w:rPr>
          <w:b/>
          <w:color w:val="000000"/>
          <w:lang w:val="en-US"/>
        </w:rPr>
        <w:t>Lu</w:t>
      </w:r>
      <w:r w:rsidR="00F70067">
        <w:rPr>
          <w:b/>
          <w:color w:val="000000"/>
        </w:rPr>
        <w:t xml:space="preserve"> при</w:t>
      </w:r>
      <w:r>
        <w:rPr>
          <w:b/>
          <w:color w:val="000000"/>
        </w:rPr>
        <w:t xml:space="preserve"> </w:t>
      </w:r>
      <w:r w:rsidR="00F70067">
        <w:rPr>
          <w:b/>
          <w:color w:val="000000"/>
        </w:rPr>
        <w:t xml:space="preserve">экстракционно-хроматографическом разделении </w:t>
      </w:r>
      <w:r>
        <w:rPr>
          <w:b/>
          <w:color w:val="000000"/>
        </w:rPr>
        <w:t>с использованием сорбента на основе моно(2-этилгексилового) эфира 2-этилгексил-фосфоновой кислоты</w:t>
      </w:r>
    </w:p>
    <w:bookmarkEnd w:id="0"/>
    <w:p w14:paraId="03D50C73" w14:textId="216AC959" w:rsidR="00FB268D" w:rsidRDefault="00D933A9">
      <w:pPr>
        <w:shd w:val="clear" w:color="auto" w:fill="FFFFFF"/>
        <w:jc w:val="center"/>
        <w:rPr>
          <w:color w:val="000000"/>
        </w:rPr>
      </w:pPr>
      <w:r w:rsidRPr="00F70067">
        <w:rPr>
          <w:b/>
          <w:i/>
          <w:color w:val="000000"/>
        </w:rPr>
        <w:t>Бобровская К.С.</w:t>
      </w:r>
    </w:p>
    <w:p w14:paraId="1F4B5718" w14:textId="77777777" w:rsidR="00FB268D" w:rsidRDefault="00D933A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Научный </w:t>
      </w:r>
      <w:r>
        <w:rPr>
          <w:i/>
          <w:color w:val="000000"/>
        </w:rPr>
        <w:t>сотрудник</w:t>
      </w:r>
    </w:p>
    <w:p w14:paraId="2858F9DA" w14:textId="77777777" w:rsidR="00FB268D" w:rsidRDefault="00D933A9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Научно-исследовательский технологический институт им. С.П. </w:t>
      </w:r>
      <w:proofErr w:type="spellStart"/>
      <w:r>
        <w:rPr>
          <w:i/>
          <w:color w:val="000000"/>
        </w:rPr>
        <w:t>Капицы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УлГУ</w:t>
      </w:r>
      <w:proofErr w:type="spellEnd"/>
      <w:r>
        <w:rPr>
          <w:i/>
          <w:color w:val="000000"/>
        </w:rPr>
        <w:t>, Ульяновск, Россия</w:t>
      </w:r>
    </w:p>
    <w:p w14:paraId="7875FAA1" w14:textId="77777777" w:rsidR="00FB268D" w:rsidRDefault="00D933A9">
      <w:pP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r>
        <w:rPr>
          <w:i/>
          <w:iCs/>
          <w:u w:val="single"/>
          <w:lang w:val="en-US"/>
        </w:rPr>
        <w:t>ks.bobrovskay@yandex.ru</w:t>
      </w:r>
    </w:p>
    <w:p w14:paraId="611CFBE8" w14:textId="757AC481" w:rsidR="00FB268D" w:rsidRDefault="00D933A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Задача выделения </w:t>
      </w:r>
      <w:r>
        <w:rPr>
          <w:color w:val="000000"/>
          <w:lang w:val="en-US"/>
        </w:rPr>
        <w:t>n</w:t>
      </w:r>
      <w:r>
        <w:rPr>
          <w:color w:val="000000"/>
        </w:rPr>
        <w:t>.</w:t>
      </w:r>
      <w:r>
        <w:rPr>
          <w:color w:val="000000"/>
          <w:lang w:val="en-US"/>
        </w:rPr>
        <w:t>c</w:t>
      </w:r>
      <w:r>
        <w:rPr>
          <w:color w:val="000000"/>
        </w:rPr>
        <w:t>.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. </w:t>
      </w:r>
      <w:r>
        <w:rPr>
          <w:color w:val="000000"/>
          <w:vertAlign w:val="superscript"/>
        </w:rPr>
        <w:t>177</w:t>
      </w:r>
      <w:r>
        <w:rPr>
          <w:color w:val="000000"/>
          <w:lang w:val="en-US"/>
        </w:rPr>
        <w:t>Lu</w:t>
      </w:r>
      <w:r>
        <w:rPr>
          <w:color w:val="000000"/>
        </w:rPr>
        <w:t xml:space="preserve"> из облученного нейтронами </w:t>
      </w:r>
      <w:r>
        <w:rPr>
          <w:color w:val="000000"/>
          <w:lang w:val="en-US"/>
        </w:rPr>
        <w:t>Yb</w:t>
      </w:r>
      <w:r>
        <w:rPr>
          <w:color w:val="000000"/>
        </w:rPr>
        <w:t xml:space="preserve"> предусматривает отделение микроколичеств лютеция от макроколичест</w:t>
      </w:r>
      <w:r>
        <w:rPr>
          <w:color w:val="000000"/>
        </w:rPr>
        <w:t>в иттербия при соотношении их масс 1:100. Известно, что эффективное разделение сопоставимых количеств тяжелых РЗЭ при низкой загрузке экстрагента обеспечивается методами экстракции и</w:t>
      </w:r>
      <w:r w:rsidRPr="00F70067">
        <w:rPr>
          <w:color w:val="000000"/>
        </w:rPr>
        <w:t>/</w:t>
      </w:r>
      <w:r>
        <w:rPr>
          <w:color w:val="000000"/>
        </w:rPr>
        <w:t>или экстракционной хроматографии при использовании в качестве экстрагента</w:t>
      </w:r>
      <w:r>
        <w:rPr>
          <w:color w:val="000000"/>
        </w:rPr>
        <w:t xml:space="preserve"> моно (2-этилгексилового) эфира 2-этилгексилфосфоновой кислоты (</w:t>
      </w:r>
      <w:r>
        <w:rPr>
          <w:color w:val="000000"/>
          <w:lang w:val="en-US"/>
        </w:rPr>
        <w:t>HEH</w:t>
      </w:r>
      <w:r>
        <w:rPr>
          <w:color w:val="000000"/>
        </w:rPr>
        <w:t>[</w:t>
      </w:r>
      <w:r>
        <w:rPr>
          <w:color w:val="000000"/>
          <w:lang w:val="en-US"/>
        </w:rPr>
        <w:t>EHP</w:t>
      </w:r>
      <w:r>
        <w:rPr>
          <w:color w:val="000000"/>
        </w:rPr>
        <w:t xml:space="preserve">]). В рассматриваемой нами задаче получения </w:t>
      </w:r>
      <w:r>
        <w:rPr>
          <w:color w:val="000000"/>
          <w:vertAlign w:val="superscript"/>
        </w:rPr>
        <w:t>177</w:t>
      </w:r>
      <w:r>
        <w:rPr>
          <w:color w:val="000000"/>
          <w:lang w:val="en-US"/>
        </w:rPr>
        <w:t>Lu</w:t>
      </w:r>
      <w:r>
        <w:rPr>
          <w:color w:val="000000"/>
        </w:rPr>
        <w:t xml:space="preserve"> высокое содержание иттербия в разделяемой смеси может негативно влиять на экстракционно-хроматографическо</w:t>
      </w:r>
      <w:r w:rsidR="00F70067">
        <w:rPr>
          <w:color w:val="000000"/>
        </w:rPr>
        <w:t>е</w:t>
      </w:r>
      <w:r>
        <w:rPr>
          <w:color w:val="000000"/>
        </w:rPr>
        <w:t xml:space="preserve"> поведение как макро- (</w:t>
      </w:r>
      <w:r>
        <w:rPr>
          <w:color w:val="000000"/>
          <w:lang w:val="en-US"/>
        </w:rPr>
        <w:t>Yb</w:t>
      </w:r>
      <w:r>
        <w:rPr>
          <w:color w:val="000000"/>
        </w:rPr>
        <w:t xml:space="preserve">), </w:t>
      </w:r>
      <w:r>
        <w:rPr>
          <w:color w:val="000000"/>
        </w:rPr>
        <w:t>так и микро- (</w:t>
      </w:r>
      <w:r>
        <w:rPr>
          <w:color w:val="000000"/>
          <w:lang w:val="en-US"/>
        </w:rPr>
        <w:t>Lu</w:t>
      </w:r>
      <w:r>
        <w:rPr>
          <w:color w:val="000000"/>
        </w:rPr>
        <w:t xml:space="preserve">) компонента в силу исчерпания </w:t>
      </w:r>
      <w:r w:rsidR="00F70067">
        <w:rPr>
          <w:color w:val="000000"/>
        </w:rPr>
        <w:t>ё</w:t>
      </w:r>
      <w:r>
        <w:rPr>
          <w:color w:val="000000"/>
        </w:rPr>
        <w:t>мкости экстрагента, однако детально данный аспект разделения не изучался.</w:t>
      </w:r>
    </w:p>
    <w:p w14:paraId="2FF8D237" w14:textId="77777777" w:rsidR="00FB268D" w:rsidRDefault="00D933A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Можно показать, что зависимости коэффициентов распределения </w:t>
      </w:r>
      <w:proofErr w:type="spellStart"/>
      <w:r>
        <w:rPr>
          <w:i/>
          <w:iCs/>
          <w:color w:val="000000"/>
          <w:lang w:val="en-US"/>
        </w:rPr>
        <w:t>D</w:t>
      </w:r>
      <w:r>
        <w:rPr>
          <w:i/>
          <w:iCs/>
          <w:color w:val="000000"/>
          <w:vertAlign w:val="subscript"/>
          <w:lang w:val="en-US"/>
        </w:rPr>
        <w:t>Yb</w:t>
      </w:r>
      <w:proofErr w:type="spellEnd"/>
      <w:r>
        <w:rPr>
          <w:color w:val="000000"/>
        </w:rPr>
        <w:t xml:space="preserve"> и </w:t>
      </w:r>
      <w:proofErr w:type="spellStart"/>
      <w:r>
        <w:rPr>
          <w:i/>
          <w:iCs/>
          <w:color w:val="000000"/>
          <w:lang w:val="en-US"/>
        </w:rPr>
        <w:t>D</w:t>
      </w:r>
      <w:r>
        <w:rPr>
          <w:i/>
          <w:iCs/>
          <w:color w:val="000000"/>
          <w:vertAlign w:val="subscript"/>
          <w:lang w:val="en-US"/>
        </w:rPr>
        <w:t>Lu</w:t>
      </w:r>
      <w:proofErr w:type="spellEnd"/>
      <w:r>
        <w:rPr>
          <w:color w:val="000000"/>
        </w:rPr>
        <w:t xml:space="preserve"> от концентрации макрокомпонента в исходном растворе (</w:t>
      </w:r>
      <w:proofErr w:type="spellStart"/>
      <w:r>
        <w:rPr>
          <w:i/>
          <w:iCs/>
          <w:color w:val="000000"/>
          <w:lang w:val="en-US"/>
        </w:rPr>
        <w:t>C</w:t>
      </w:r>
      <w:r>
        <w:rPr>
          <w:i/>
          <w:iCs/>
          <w:color w:val="000000"/>
          <w:vertAlign w:val="subscript"/>
          <w:lang w:val="en-US"/>
        </w:rPr>
        <w:t>Yb</w:t>
      </w:r>
      <w:proofErr w:type="spellEnd"/>
      <w:r>
        <w:rPr>
          <w:color w:val="000000"/>
        </w:rPr>
        <w:t>) описыв</w:t>
      </w:r>
      <w:r>
        <w:rPr>
          <w:color w:val="000000"/>
        </w:rPr>
        <w:t xml:space="preserve">аются выражениями (1) и (2), учитывающими изменение константы экстракции </w:t>
      </w:r>
      <w:proofErr w:type="spellStart"/>
      <w:r>
        <w:rPr>
          <w:color w:val="000000"/>
          <w:lang w:val="en-US"/>
        </w:rPr>
        <w:t>Yb</w:t>
      </w:r>
      <w:proofErr w:type="spellEnd"/>
      <w:r>
        <w:rPr>
          <w:color w:val="000000"/>
        </w:rPr>
        <w:t xml:space="preserve"> и </w:t>
      </w:r>
      <w:r>
        <w:rPr>
          <w:color w:val="000000"/>
          <w:lang w:val="en-US"/>
        </w:rPr>
        <w:t>Lu</w:t>
      </w:r>
      <w:r>
        <w:rPr>
          <w:color w:val="000000"/>
        </w:rPr>
        <w:t xml:space="preserve">, уменьшение количества свободного экстрагента и состав образующихся комплексов </w:t>
      </w:r>
      <w:proofErr w:type="gramStart"/>
      <w:r>
        <w:rPr>
          <w:color w:val="000000"/>
        </w:rPr>
        <w:t>Ме:</w:t>
      </w:r>
      <w:r>
        <w:rPr>
          <w:color w:val="000000"/>
          <w:lang w:val="en-US"/>
        </w:rPr>
        <w:t>HEH</w:t>
      </w:r>
      <w:proofErr w:type="gramEnd"/>
      <w:r>
        <w:rPr>
          <w:color w:val="000000"/>
        </w:rPr>
        <w:t>[</w:t>
      </w:r>
      <w:r>
        <w:rPr>
          <w:color w:val="000000"/>
          <w:lang w:val="en-US"/>
        </w:rPr>
        <w:t>EHP</w:t>
      </w:r>
      <w:r>
        <w:rPr>
          <w:color w:val="000000"/>
        </w:rPr>
        <w:t>]</w:t>
      </w:r>
    </w:p>
    <w:bookmarkStart w:id="1" w:name="_Hlk188543212"/>
    <w:p w14:paraId="77A56723" w14:textId="77777777" w:rsidR="00FB268D" w:rsidRPr="00F70067" w:rsidRDefault="00D933A9">
      <w:pPr>
        <w:shd w:val="clear" w:color="auto" w:fill="FFFFFF"/>
        <w:tabs>
          <w:tab w:val="right" w:pos="9184"/>
        </w:tabs>
        <w:ind w:firstLine="2694"/>
        <w:jc w:val="both"/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Yb</m:t>
            </m:r>
          </m:sub>
        </m:sSub>
        <m:r>
          <w:rPr>
            <w:rFonts w:ascii="Cambria Math" w:eastAsiaTheme="minorEastAsia" w:hAnsi="Cambria Math"/>
          </w:rPr>
          <m:t>=(</m:t>
        </m:r>
        <w:bookmarkStart w:id="2" w:name="_Hlk188532804"/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e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Yb</m:t>
                </m:r>
              </m:sub>
            </m:sSub>
          </m:sub>
        </m:sSub>
        <w:bookmarkEnd w:id="2"/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2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Yb</m:t>
            </m:r>
          </m:sub>
        </m:sSub>
        <m:r>
          <w:rPr>
            <w:rFonts w:ascii="Cambria Math" w:eastAsiaTheme="minorEastAsia" w:hAnsi="Cambria Math"/>
          </w:rPr>
          <m:t>)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HA</m:t>
                            </m:r>
                          </m:e>
                        </m:d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Yb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3+</m:t>
                                </m:r>
                              </m:sup>
                            </m:sSup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</w:rPr>
                          <m:t>о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+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den>
        </m:f>
      </m:oMath>
      <w:bookmarkEnd w:id="1"/>
      <w:r w:rsidRPr="00F70067">
        <w:t xml:space="preserve"> </w:t>
      </w:r>
      <w:r w:rsidRPr="00F70067">
        <w:tab/>
        <w:t>(1)</w:t>
      </w:r>
    </w:p>
    <w:bookmarkStart w:id="3" w:name="_Hlk187324245"/>
    <w:p w14:paraId="1F729DC8" w14:textId="77777777" w:rsidR="00FB268D" w:rsidRDefault="00D933A9">
      <w:pPr>
        <w:shd w:val="clear" w:color="auto" w:fill="FFFFFF"/>
        <w:tabs>
          <w:tab w:val="right" w:pos="9184"/>
        </w:tabs>
        <w:ind w:firstLine="2694"/>
        <w:jc w:val="both"/>
        <w:rPr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D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Lu</m:t>
            </m:r>
          </m:sub>
        </m:sSub>
        <m:r>
          <w:rPr>
            <w:rFonts w:ascii="Cambria Math" w:hAnsi="Cambria Math"/>
            <w:color w:val="000000"/>
          </w:rPr>
          <m:t>=(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k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ex</m:t>
                </m:r>
              </m:sub>
            </m:sSub>
          </m:e>
          <m:sub>
            <m:r>
              <w:rPr>
                <w:rFonts w:ascii="Cambria Math" w:hAnsi="Cambria Math"/>
                <w:color w:val="000000"/>
              </w:rPr>
              <m:t>L</m:t>
            </m:r>
            <m:r>
              <w:rPr>
                <w:rFonts w:ascii="Cambria Math" w:hAnsi="Cambria Math"/>
                <w:color w:val="000000"/>
                <w:lang w:val="en-US"/>
              </w:rPr>
              <m:t>u</m:t>
            </m:r>
          </m:sub>
        </m:sSub>
        <m:r>
          <w:rPr>
            <w:rFonts w:ascii="Cambria Math" w:hAnsi="Cambria Math"/>
            <w:color w:val="000000"/>
          </w:rPr>
          <m:t>-3.5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C</m:t>
            </m:r>
          </m:e>
          <m:sub>
            <m:r>
              <w:rPr>
                <w:rFonts w:ascii="Cambria Math" w:hAnsi="Cambria Math"/>
                <w:color w:val="000000"/>
              </w:rPr>
              <m:t>Y</m:t>
            </m:r>
            <m:r>
              <w:rPr>
                <w:rFonts w:ascii="Cambria Math" w:hAnsi="Cambria Math"/>
                <w:color w:val="000000"/>
              </w:rPr>
              <m:t>b</m:t>
            </m:r>
          </m:sub>
        </m:sSub>
        <m:r>
          <w:rPr>
            <w:rFonts w:ascii="Cambria Math" w:hAnsi="Cambria Math"/>
            <w:color w:val="000000"/>
          </w:rPr>
          <m:t>)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lang w:val="en-US"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lang w:val="en-US"/>
                              </w:rPr>
                              <m:t>HA</m:t>
                            </m:r>
                          </m:e>
                        </m:d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2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0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  <w:color w:val="000000"/>
                      </w:rPr>
                      <m:t>-</m:t>
                    </m:r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  <w:color w:val="000000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lang w:val="en-US"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lang w:val="en-US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lang w:val="en-US"/>
                                  </w:rPr>
                                  <m:t>Yb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</w:rPr>
                                  <m:t>3+</m:t>
                                </m:r>
                              </m:sup>
                            </m:sSup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</w:rPr>
                          <m:t>о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color w:val="000000"/>
                    <w:lang w:val="en-US"/>
                  </w:rPr>
                  <m:t>m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</w:rPr>
                          <m:t>+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color w:val="000000"/>
                  </w:rPr>
                  <m:t>n</m:t>
                </m:r>
              </m:sup>
            </m:sSup>
          </m:den>
        </m:f>
      </m:oMath>
      <w:bookmarkEnd w:id="3"/>
      <w:r w:rsidRPr="00F70067">
        <w:rPr>
          <w:color w:val="000000"/>
        </w:rPr>
        <w:tab/>
        <w:t>(2)</w:t>
      </w:r>
    </w:p>
    <w:p w14:paraId="0B1BC312" w14:textId="77777777" w:rsidR="00FB268D" w:rsidRDefault="00D933A9">
      <w:pPr>
        <w:shd w:val="clear" w:color="auto" w:fill="FFFFFF"/>
        <w:tabs>
          <w:tab w:val="right" w:pos="9184"/>
        </w:tabs>
        <w:jc w:val="both"/>
        <w:rPr>
          <w:iCs/>
          <w:color w:val="000000"/>
        </w:rPr>
      </w:pPr>
      <w:r>
        <w:rPr>
          <w:color w:val="000000"/>
        </w:rPr>
        <w:t xml:space="preserve">где 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k</m:t>
            </m:r>
          </m:e>
          <m:sub>
            <m:r>
              <w:rPr>
                <w:rFonts w:ascii="Cambria Math" w:hAnsi="Cambria Math"/>
                <w:color w:val="000000"/>
              </w:rPr>
              <m:t>e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lang w:val="en-US"/>
                  </w:rPr>
                  <m:t>Yb</m:t>
                </m:r>
              </m:sub>
            </m:sSub>
          </m:sub>
        </m:sSub>
      </m:oMath>
      <w:r>
        <w:rPr>
          <w:color w:val="000000"/>
        </w:rPr>
        <w:t xml:space="preserve"> – константа экстракции </w:t>
      </w:r>
      <w:r>
        <w:rPr>
          <w:color w:val="000000"/>
          <w:lang w:val="en-US"/>
        </w:rPr>
        <w:t>Yb</w:t>
      </w:r>
      <w:r>
        <w:rPr>
          <w:color w:val="000000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k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ex</m:t>
                </m:r>
              </m:sub>
            </m:sSub>
          </m:e>
          <m:sub>
            <m:r>
              <w:rPr>
                <w:rFonts w:ascii="Cambria Math" w:hAnsi="Cambria Math"/>
                <w:color w:val="000000"/>
              </w:rPr>
              <m:t>L</m:t>
            </m:r>
            <m:r>
              <w:rPr>
                <w:rFonts w:ascii="Cambria Math" w:hAnsi="Cambria Math"/>
                <w:color w:val="000000"/>
                <w:lang w:val="en-US"/>
              </w:rPr>
              <m:t>u</m:t>
            </m:r>
          </m:sub>
        </m:sSub>
      </m:oMath>
      <w:r>
        <w:rPr>
          <w:color w:val="000000"/>
        </w:rPr>
        <w:t xml:space="preserve"> – константа экстракции </w:t>
      </w:r>
      <w:r>
        <w:rPr>
          <w:color w:val="000000"/>
          <w:lang w:val="en-US"/>
        </w:rPr>
        <w:t>Lu</w:t>
      </w:r>
      <w:r>
        <w:rPr>
          <w:color w:val="000000"/>
        </w:rPr>
        <w:t xml:space="preserve">; </w:t>
      </w:r>
      <w:r>
        <w:rPr>
          <w:i/>
          <w:color w:val="000000"/>
          <w:lang w:val="en-US"/>
        </w:rPr>
        <w:t>n</w:t>
      </w:r>
      <w:r>
        <w:rPr>
          <w:i/>
          <w:color w:val="000000"/>
        </w:rPr>
        <w:t>=</w:t>
      </w:r>
      <w:proofErr w:type="spellStart"/>
      <w:r>
        <w:rPr>
          <w:i/>
          <w:color w:val="000000"/>
          <w:lang w:val="en-US"/>
        </w:rPr>
        <w:t>tg</w:t>
      </w:r>
      <w:proofErr w:type="spellEnd"/>
      <w:r>
        <w:rPr>
          <w:i/>
          <w:color w:val="000000"/>
          <w:lang w:val="en-US"/>
        </w:rPr>
        <w:t>α</w:t>
      </w:r>
      <w:r>
        <w:rPr>
          <w:color w:val="000000"/>
        </w:rPr>
        <w:t xml:space="preserve"> – тангенс угла наклона зависимости </w:t>
      </w:r>
      <w:proofErr w:type="spellStart"/>
      <w:r>
        <w:rPr>
          <w:i/>
          <w:color w:val="000000"/>
          <w:lang w:val="en-US"/>
        </w:rPr>
        <w:t>lgD</w:t>
      </w:r>
      <w:proofErr w:type="spellEnd"/>
      <w:r>
        <w:rPr>
          <w:i/>
          <w:color w:val="000000"/>
        </w:rPr>
        <w:t>=</w:t>
      </w:r>
      <w:r>
        <w:rPr>
          <w:i/>
          <w:color w:val="000000"/>
          <w:lang w:val="en-US"/>
        </w:rPr>
        <w:t>f</w:t>
      </w:r>
      <w:r>
        <w:rPr>
          <w:i/>
          <w:color w:val="000000"/>
        </w:rPr>
        <w:t>(</w:t>
      </w:r>
      <w:r>
        <w:rPr>
          <w:i/>
          <w:color w:val="000000"/>
          <w:lang w:val="en-US"/>
        </w:rPr>
        <w:t>lg</w:t>
      </w:r>
      <w:r>
        <w:rPr>
          <w:i/>
          <w:color w:val="000000"/>
        </w:rPr>
        <w:t>[</w:t>
      </w:r>
      <w:r>
        <w:rPr>
          <w:i/>
          <w:color w:val="000000"/>
          <w:lang w:val="en-US"/>
        </w:rPr>
        <w:t>HNO</w:t>
      </w:r>
      <w:r>
        <w:rPr>
          <w:i/>
          <w:color w:val="000000"/>
          <w:vertAlign w:val="subscript"/>
        </w:rPr>
        <w:t>3</w:t>
      </w:r>
      <w:r>
        <w:rPr>
          <w:i/>
          <w:color w:val="000000"/>
        </w:rPr>
        <w:t>])</w:t>
      </w:r>
      <w:r>
        <w:rPr>
          <w:color w:val="000000"/>
        </w:rPr>
        <w:t xml:space="preserve">; </w:t>
      </w:r>
      <w:r>
        <w:rPr>
          <w:i/>
          <w:color w:val="000000"/>
          <w:lang w:val="en-US"/>
        </w:rPr>
        <w:t>m</w:t>
      </w:r>
      <w:r>
        <w:rPr>
          <w:i/>
          <w:color w:val="000000"/>
        </w:rPr>
        <w:t>=</w:t>
      </w:r>
      <w:proofErr w:type="spellStart"/>
      <w:r>
        <w:rPr>
          <w:i/>
          <w:color w:val="000000"/>
          <w:lang w:val="en-US"/>
        </w:rPr>
        <w:t>tg</w:t>
      </w:r>
      <w:proofErr w:type="spellEnd"/>
      <w:r>
        <w:rPr>
          <w:i/>
          <w:color w:val="000000"/>
          <w:lang w:val="en-US"/>
        </w:rPr>
        <w:t>β</w:t>
      </w:r>
      <w:r>
        <w:rPr>
          <w:color w:val="000000"/>
        </w:rPr>
        <w:t xml:space="preserve"> – тангенс угла наклона зависимости </w:t>
      </w:r>
      <w:proofErr w:type="spellStart"/>
      <w:r>
        <w:rPr>
          <w:i/>
          <w:color w:val="000000"/>
          <w:lang w:val="en-US"/>
        </w:rPr>
        <w:t>lgD</w:t>
      </w:r>
      <w:proofErr w:type="spellEnd"/>
      <w:r>
        <w:rPr>
          <w:i/>
          <w:color w:val="000000"/>
        </w:rPr>
        <w:t>=</w:t>
      </w:r>
      <w:r>
        <w:rPr>
          <w:i/>
          <w:color w:val="000000"/>
          <w:lang w:val="en-US"/>
        </w:rPr>
        <w:t>f</w:t>
      </w:r>
      <w:r>
        <w:rPr>
          <w:i/>
          <w:color w:val="000000"/>
        </w:rPr>
        <w:t>(</w:t>
      </w:r>
      <w:r>
        <w:rPr>
          <w:i/>
          <w:color w:val="000000"/>
          <w:lang w:val="en-US"/>
        </w:rPr>
        <w:t>lg</w:t>
      </w:r>
      <w:r>
        <w:rPr>
          <w:i/>
          <w:color w:val="000000"/>
        </w:rPr>
        <w:t>[</w:t>
      </w:r>
      <w:r>
        <w:rPr>
          <w:i/>
          <w:color w:val="000000"/>
          <w:lang w:val="en-US"/>
        </w:rPr>
        <w:t>HEH</w:t>
      </w:r>
      <w:r>
        <w:rPr>
          <w:i/>
          <w:color w:val="000000"/>
        </w:rPr>
        <w:t>[</w:t>
      </w:r>
      <w:r>
        <w:rPr>
          <w:i/>
          <w:color w:val="000000"/>
          <w:lang w:val="en-US"/>
        </w:rPr>
        <w:t>EHP</w:t>
      </w:r>
      <w:r>
        <w:rPr>
          <w:i/>
          <w:color w:val="000000"/>
        </w:rPr>
        <w:t>]</w:t>
      </w:r>
      <w:r>
        <w:rPr>
          <w:iCs/>
          <w:color w:val="000000"/>
        </w:rPr>
        <w:t>)</w:t>
      </w:r>
    </w:p>
    <w:p w14:paraId="431752F8" w14:textId="77777777" w:rsidR="00FB268D" w:rsidRDefault="00D933A9">
      <w:pPr>
        <w:shd w:val="clear" w:color="auto" w:fill="FFFFFF"/>
        <w:tabs>
          <w:tab w:val="right" w:pos="9184"/>
        </w:tabs>
        <w:ind w:firstLine="397"/>
        <w:jc w:val="both"/>
        <w:rPr>
          <w:color w:val="000000"/>
        </w:rPr>
      </w:pPr>
      <w:r>
        <w:rPr>
          <w:color w:val="000000"/>
        </w:rPr>
        <w:t>Эти выражения позволяют объяснить особенности экстракционно-хроматографического поведения иттербия и лютеция. Выходные кривые этих элементов демонстрируют раннее начало выхода металла из колонки по мере увеличения концентрации иттербия, что связано с умень</w:t>
      </w:r>
      <w:r>
        <w:rPr>
          <w:color w:val="000000"/>
        </w:rPr>
        <w:t xml:space="preserve">шением коэффициентов распределения. Сложный характер выходных кривых и отклонение их формы от классического </w:t>
      </w:r>
      <w:proofErr w:type="spellStart"/>
      <w:r>
        <w:rPr>
          <w:color w:val="000000"/>
        </w:rPr>
        <w:t>гауссиана</w:t>
      </w:r>
      <w:proofErr w:type="spellEnd"/>
      <w:r>
        <w:rPr>
          <w:color w:val="000000"/>
        </w:rPr>
        <w:t xml:space="preserve"> свидетельствуют о постоянном динамическом изменении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в процессе разделения. Полученные закономерности должны учитываться при разработке м</w:t>
      </w:r>
      <w:r>
        <w:rPr>
          <w:color w:val="000000"/>
        </w:rPr>
        <w:t>одели хроматографического разделения иттербия и лютеция, предназначенной для описания процесса разделения и оценки производительности хроматографической колонки.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FB268D" w14:paraId="0DF0583E" w14:textId="77777777">
        <w:trPr>
          <w:trHeight w:val="3133"/>
        </w:trPr>
        <w:tc>
          <w:tcPr>
            <w:tcW w:w="4587" w:type="dxa"/>
          </w:tcPr>
          <w:p w14:paraId="70D6CE3B" w14:textId="77777777" w:rsidR="00FB268D" w:rsidRDefault="00D933A9">
            <w:pPr>
              <w:tabs>
                <w:tab w:val="right" w:pos="9184"/>
              </w:tabs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100A8F2" wp14:editId="515E3530">
                  <wp:extent cx="2651760" cy="2043430"/>
                  <wp:effectExtent l="0" t="0" r="0" b="0"/>
                  <wp:docPr id="15303633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36336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5341" cy="2061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</w:tcPr>
          <w:p w14:paraId="7BB29AFA" w14:textId="77777777" w:rsidR="00FB268D" w:rsidRDefault="00D933A9">
            <w:pPr>
              <w:tabs>
                <w:tab w:val="right" w:pos="9184"/>
              </w:tabs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62B5425" wp14:editId="6747E3E2">
                  <wp:extent cx="2670810" cy="1958340"/>
                  <wp:effectExtent l="0" t="0" r="0" b="3810"/>
                  <wp:docPr id="126268405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684055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982" cy="1985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4" w:name="_GoBack"/>
        <w:bookmarkEnd w:id="4"/>
      </w:tr>
    </w:tbl>
    <w:p w14:paraId="5875F9E5" w14:textId="2DBEAC42" w:rsidR="00FB268D" w:rsidRDefault="00D933A9">
      <w:pPr>
        <w:shd w:val="clear" w:color="auto" w:fill="FFFFFF"/>
        <w:tabs>
          <w:tab w:val="right" w:pos="9184"/>
        </w:tabs>
        <w:jc w:val="center"/>
        <w:rPr>
          <w:color w:val="000000"/>
        </w:rPr>
      </w:pPr>
      <w:r>
        <w:rPr>
          <w:color w:val="000000"/>
        </w:rPr>
        <w:t>Рис.</w:t>
      </w:r>
      <w:r w:rsidRPr="00D933A9">
        <w:rPr>
          <w:color w:val="000000"/>
        </w:rPr>
        <w:t xml:space="preserve"> 1.</w:t>
      </w:r>
      <w:r>
        <w:rPr>
          <w:color w:val="000000"/>
        </w:rPr>
        <w:t xml:space="preserve"> Выходные кривые </w:t>
      </w:r>
      <w:proofErr w:type="spellStart"/>
      <w:r>
        <w:rPr>
          <w:color w:val="000000"/>
          <w:lang w:val="en-US"/>
        </w:rPr>
        <w:t>Yb</w:t>
      </w:r>
      <w:proofErr w:type="spellEnd"/>
      <w:r>
        <w:rPr>
          <w:color w:val="000000"/>
        </w:rPr>
        <w:t xml:space="preserve"> (а) и </w:t>
      </w:r>
      <w:r>
        <w:rPr>
          <w:color w:val="000000"/>
          <w:lang w:val="en-US"/>
        </w:rPr>
        <w:t>Lu</w:t>
      </w:r>
      <w:r>
        <w:rPr>
          <w:color w:val="000000"/>
        </w:rPr>
        <w:t xml:space="preserve"> (б) при увеличении массы </w:t>
      </w:r>
      <w:proofErr w:type="spellStart"/>
      <w:r>
        <w:rPr>
          <w:color w:val="000000"/>
          <w:lang w:val="en-US"/>
        </w:rPr>
        <w:t>Yb</w:t>
      </w:r>
      <w:proofErr w:type="spellEnd"/>
      <w:r>
        <w:rPr>
          <w:color w:val="000000"/>
        </w:rPr>
        <w:t xml:space="preserve"> от 0.5 до 25 мг, полученные с использованием сорбента на основе </w:t>
      </w:r>
      <w:r>
        <w:rPr>
          <w:color w:val="000000"/>
          <w:lang w:val="en-US"/>
        </w:rPr>
        <w:t>HEH</w:t>
      </w:r>
      <w:r>
        <w:rPr>
          <w:color w:val="000000"/>
        </w:rPr>
        <w:t>[</w:t>
      </w:r>
      <w:r>
        <w:rPr>
          <w:color w:val="000000"/>
          <w:lang w:val="en-US"/>
        </w:rPr>
        <w:t>EHP</w:t>
      </w:r>
      <w:r>
        <w:rPr>
          <w:color w:val="000000"/>
        </w:rPr>
        <w:t xml:space="preserve">] </w:t>
      </w:r>
      <w:r>
        <w:rPr>
          <w:color w:val="000000"/>
        </w:rPr>
        <w:t xml:space="preserve">(элюент – 1.5 </w:t>
      </w:r>
      <w:r>
        <w:rPr>
          <w:color w:val="000000"/>
          <w:lang w:val="en-US"/>
        </w:rPr>
        <w:t>M</w:t>
      </w:r>
      <w:r w:rsidRPr="00D933A9">
        <w:rPr>
          <w:color w:val="000000"/>
        </w:rPr>
        <w:t xml:space="preserve"> </w:t>
      </w:r>
      <w:r>
        <w:rPr>
          <w:color w:val="000000"/>
          <w:lang w:val="en-US"/>
        </w:rPr>
        <w:t>HNO</w:t>
      </w:r>
      <w:r w:rsidRPr="00D933A9">
        <w:rPr>
          <w:color w:val="000000"/>
          <w:vertAlign w:val="subscript"/>
        </w:rPr>
        <w:t>3</w:t>
      </w:r>
      <w:r>
        <w:rPr>
          <w:color w:val="000000"/>
        </w:rPr>
        <w:t>)</w:t>
      </w:r>
    </w:p>
    <w:sectPr w:rsidR="00FB268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33521"/>
    <w:rsid w:val="002E06B2"/>
    <w:rsid w:val="0031361E"/>
    <w:rsid w:val="00391C38"/>
    <w:rsid w:val="003B76D6"/>
    <w:rsid w:val="003E2601"/>
    <w:rsid w:val="003F4E6B"/>
    <w:rsid w:val="00450B43"/>
    <w:rsid w:val="004A26A3"/>
    <w:rsid w:val="004F0EDF"/>
    <w:rsid w:val="005109BF"/>
    <w:rsid w:val="00522BF1"/>
    <w:rsid w:val="00590166"/>
    <w:rsid w:val="005A486B"/>
    <w:rsid w:val="005D022B"/>
    <w:rsid w:val="005E5BE9"/>
    <w:rsid w:val="0069427D"/>
    <w:rsid w:val="006F7A19"/>
    <w:rsid w:val="007213E1"/>
    <w:rsid w:val="00723FBC"/>
    <w:rsid w:val="00775389"/>
    <w:rsid w:val="00797838"/>
    <w:rsid w:val="007C36D8"/>
    <w:rsid w:val="007F2744"/>
    <w:rsid w:val="00846FAA"/>
    <w:rsid w:val="00870DD9"/>
    <w:rsid w:val="008931BE"/>
    <w:rsid w:val="008C67E3"/>
    <w:rsid w:val="00914205"/>
    <w:rsid w:val="00921D45"/>
    <w:rsid w:val="009426C0"/>
    <w:rsid w:val="00953B25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707D1"/>
    <w:rsid w:val="00D8121C"/>
    <w:rsid w:val="00D933A9"/>
    <w:rsid w:val="00DD585E"/>
    <w:rsid w:val="00E22189"/>
    <w:rsid w:val="00E74069"/>
    <w:rsid w:val="00E81D35"/>
    <w:rsid w:val="00EB1F49"/>
    <w:rsid w:val="00EC60DD"/>
    <w:rsid w:val="00F70067"/>
    <w:rsid w:val="00F865B3"/>
    <w:rsid w:val="00FB1509"/>
    <w:rsid w:val="00FB268D"/>
    <w:rsid w:val="00FD73C2"/>
    <w:rsid w:val="00FF1903"/>
    <w:rsid w:val="14F15241"/>
    <w:rsid w:val="5D0A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7B68"/>
  <w15:docId w15:val="{2CC86CC4-ACB8-445E-B1FF-FDEAD2B1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qFormat/>
    <w:locked/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paragraph" w:styleId="aa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05D162-72A1-4A51-AF2F-B445A6FF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Ксения</cp:lastModifiedBy>
  <cp:revision>6</cp:revision>
  <dcterms:created xsi:type="dcterms:W3CDTF">2025-02-04T12:39:00Z</dcterms:created>
  <dcterms:modified xsi:type="dcterms:W3CDTF">2025-03-15T07:44:00Z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1049-12.2.0.19805</vt:lpwstr>
  </property>
  <property fmtid="{D5CDD505-2E9C-101B-9397-08002B2CF9AE}" pid="26" name="ICV">
    <vt:lpwstr>EE4486D582BF4817B92BDD064818CF75_12</vt:lpwstr>
  </property>
</Properties>
</file>