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8C98A88" w:rsidR="00130241" w:rsidRPr="00E86BDE" w:rsidRDefault="00E86B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86BDE">
        <w:rPr>
          <w:b/>
          <w:color w:val="000000"/>
        </w:rPr>
        <w:t>Карбонаты церия: исследование твёрдых фаз, синтезированных в растворе при различных условиях</w:t>
      </w:r>
    </w:p>
    <w:p w14:paraId="70089201" w14:textId="77777777" w:rsidR="00E86BDE" w:rsidRPr="00E86BDE" w:rsidRDefault="00E86BDE" w:rsidP="00E86BDE">
      <w:pPr>
        <w:pStyle w:val="ae"/>
        <w:spacing w:line="240" w:lineRule="auto"/>
        <w:rPr>
          <w:rFonts w:eastAsia="Times New Roman" w:cs="Times New Roman"/>
          <w:b/>
          <w:color w:val="000000"/>
          <w:lang w:eastAsia="ru-RU" w:bidi="ar-SA"/>
        </w:rPr>
      </w:pPr>
      <w:r w:rsidRPr="00E86BDE">
        <w:rPr>
          <w:rFonts w:eastAsia="Times New Roman" w:cs="Times New Roman"/>
          <w:b/>
          <w:color w:val="000000"/>
          <w:lang w:eastAsia="ru-RU" w:bidi="ar-SA"/>
        </w:rPr>
        <w:t>Метленков Н.А., Кузенкова А.С., Плахова Т.В., Романчук А.Ю.</w:t>
      </w:r>
    </w:p>
    <w:p w14:paraId="00000003" w14:textId="5935AFE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65D32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 </w:t>
      </w:r>
    </w:p>
    <w:p w14:paraId="05DC83F4" w14:textId="5BF1C2B8" w:rsidR="00E86BDE" w:rsidRDefault="00EB1F49" w:rsidP="00565D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</w:t>
      </w:r>
    </w:p>
    <w:p w14:paraId="66C97823" w14:textId="77777777" w:rsidR="00565D32" w:rsidRPr="00565D32" w:rsidRDefault="00EB1F49" w:rsidP="00565D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565D32">
        <w:rPr>
          <w:i/>
          <w:color w:val="000000"/>
          <w:lang w:val="en-US"/>
        </w:rPr>
        <w:t>E</w:t>
      </w:r>
      <w:r w:rsidR="003B76D6" w:rsidRPr="00565D32">
        <w:rPr>
          <w:i/>
          <w:color w:val="000000"/>
          <w:lang w:val="en-US"/>
        </w:rPr>
        <w:t>-</w:t>
      </w:r>
      <w:r w:rsidRPr="00565D32">
        <w:rPr>
          <w:i/>
          <w:color w:val="000000"/>
          <w:lang w:val="en-US"/>
        </w:rPr>
        <w:t xml:space="preserve">mail: </w:t>
      </w:r>
      <w:hyperlink r:id="rId6" w:history="1">
        <w:r w:rsidR="00565D32" w:rsidRPr="00565D32">
          <w:rPr>
            <w:i/>
            <w:color w:val="000000"/>
            <w:lang w:val="en-US"/>
          </w:rPr>
          <w:t>metla.nik2901@gmail.com</w:t>
        </w:r>
      </w:hyperlink>
    </w:p>
    <w:p w14:paraId="5CEE707B" w14:textId="09F19066" w:rsidR="00565D32" w:rsidRDefault="00565D32" w:rsidP="00565D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5D32">
        <w:rPr>
          <w:color w:val="000000"/>
        </w:rPr>
        <w:t xml:space="preserve">В последнее время производство соединений церия, в частности диоксида в форме наночастиц, растёт в связи с его применением во многих областях современных технологий. Такое массовое производство неизбежно ведёт к попаданию и накоплению соединений церия в окружающей среде, в частности в составе сточных вод [1]. Также церий часто рассматривается как нерадиоактивный аналог для </w:t>
      </w:r>
      <w:proofErr w:type="spellStart"/>
      <w:proofErr w:type="gramStart"/>
      <w:r w:rsidRPr="00565D32">
        <w:rPr>
          <w:color w:val="000000"/>
        </w:rPr>
        <w:t>Pu</w:t>
      </w:r>
      <w:proofErr w:type="spellEnd"/>
      <w:r w:rsidRPr="00565D32">
        <w:rPr>
          <w:color w:val="000000"/>
        </w:rPr>
        <w:t>(</w:t>
      </w:r>
      <w:proofErr w:type="gramEnd"/>
      <w:r w:rsidRPr="00565D32">
        <w:rPr>
          <w:color w:val="000000"/>
        </w:rPr>
        <w:t>III, IV), так как имеет степени окисления +3 и +4, кристаллизуется в CeO</w:t>
      </w:r>
      <w:r w:rsidRPr="00565D32">
        <w:rPr>
          <w:color w:val="000000"/>
          <w:vertAlign w:val="subscript"/>
        </w:rPr>
        <w:t>2</w:t>
      </w:r>
      <w:r w:rsidRPr="00565D32">
        <w:rPr>
          <w:color w:val="000000"/>
        </w:rPr>
        <w:t xml:space="preserve"> со структурным типом флюорита с практически идентичными PuO</w:t>
      </w:r>
      <w:r w:rsidRPr="00565D32">
        <w:rPr>
          <w:color w:val="000000"/>
          <w:vertAlign w:val="subscript"/>
        </w:rPr>
        <w:t>2</w:t>
      </w:r>
      <w:r w:rsidRPr="00565D32">
        <w:rPr>
          <w:color w:val="000000"/>
        </w:rPr>
        <w:t xml:space="preserve"> параметрами ячейки. Карбонат – один из важнейших анионов в окружающей среде, который чаще всего встречается в составе подземных вод. При этом в литературе крайне мало информации о поведении церия, а также </w:t>
      </w:r>
      <w:proofErr w:type="spellStart"/>
      <w:proofErr w:type="gramStart"/>
      <w:r w:rsidRPr="00565D32">
        <w:rPr>
          <w:color w:val="000000"/>
        </w:rPr>
        <w:t>Pu</w:t>
      </w:r>
      <w:proofErr w:type="spellEnd"/>
      <w:r w:rsidRPr="00565D32">
        <w:rPr>
          <w:color w:val="000000"/>
        </w:rPr>
        <w:t>(</w:t>
      </w:r>
      <w:proofErr w:type="gramEnd"/>
      <w:r w:rsidRPr="00565D32">
        <w:rPr>
          <w:color w:val="000000"/>
        </w:rPr>
        <w:t xml:space="preserve">III) в карбонатных средах и об образовании карбонат-содержащих твёрдых фаз. Эти данные необходимы для предсказания поведения </w:t>
      </w:r>
      <w:proofErr w:type="spellStart"/>
      <w:r w:rsidRPr="00565D32">
        <w:rPr>
          <w:color w:val="000000"/>
        </w:rPr>
        <w:t>Сe</w:t>
      </w:r>
      <w:proofErr w:type="spellEnd"/>
      <w:r w:rsidRPr="00565D32">
        <w:rPr>
          <w:color w:val="000000"/>
        </w:rPr>
        <w:t xml:space="preserve"> и </w:t>
      </w:r>
      <w:proofErr w:type="spellStart"/>
      <w:r w:rsidRPr="00565D32">
        <w:rPr>
          <w:color w:val="000000"/>
        </w:rPr>
        <w:t>Pu</w:t>
      </w:r>
      <w:proofErr w:type="spellEnd"/>
      <w:r w:rsidRPr="00565D32">
        <w:rPr>
          <w:color w:val="000000"/>
        </w:rPr>
        <w:t xml:space="preserve"> в условиях окружающей среды.</w:t>
      </w:r>
    </w:p>
    <w:p w14:paraId="567BD7EB" w14:textId="1D751304" w:rsidR="00565D32" w:rsidRDefault="00565D32" w:rsidP="00565D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5D32">
        <w:rPr>
          <w:color w:val="000000"/>
        </w:rPr>
        <w:t xml:space="preserve">Целью работы является установление взаимосвязи между условиями синтеза карбонатов церия и их составом. В ходе работы проводилось осаждение карбонатов церия из растворов солей </w:t>
      </w:r>
      <w:proofErr w:type="spellStart"/>
      <w:r w:rsidRPr="00565D32">
        <w:rPr>
          <w:color w:val="000000"/>
        </w:rPr>
        <w:t>Ce</w:t>
      </w:r>
      <w:proofErr w:type="spellEnd"/>
      <w:r w:rsidRPr="00565D32">
        <w:rPr>
          <w:color w:val="000000"/>
        </w:rPr>
        <w:t>(III) c помощью NaHCO</w:t>
      </w:r>
      <w:r w:rsidRPr="00565D32">
        <w:rPr>
          <w:color w:val="000000"/>
          <w:vertAlign w:val="subscript"/>
        </w:rPr>
        <w:t>3</w:t>
      </w:r>
      <w:r w:rsidRPr="00565D32">
        <w:rPr>
          <w:color w:val="000000"/>
        </w:rPr>
        <w:t xml:space="preserve"> различных концентраций в диапазоне </w:t>
      </w:r>
      <w:proofErr w:type="spellStart"/>
      <w:r w:rsidRPr="00565D32">
        <w:rPr>
          <w:color w:val="000000"/>
        </w:rPr>
        <w:t>pH</w:t>
      </w:r>
      <w:proofErr w:type="spellEnd"/>
      <w:r w:rsidRPr="00565D32">
        <w:rPr>
          <w:color w:val="000000"/>
        </w:rPr>
        <w:t xml:space="preserve"> 5 – 11. Результирующие твёрдые фазы подвергались гидротермальной (ГТ) обработке в диапазоне температур 80 – 150°С. Полученные соединения церия были характеризованы методами рентгенофазового анализа (РФА), растровой электронной микроскопии (РЭМ), рентгеновской абсорбционной спектроскопии (XANES).</w:t>
      </w:r>
    </w:p>
    <w:p w14:paraId="2F6730A2" w14:textId="2FAAD58E" w:rsidR="00142F50" w:rsidRPr="00565D32" w:rsidRDefault="00142F50" w:rsidP="00142F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5D32">
        <w:rPr>
          <w:color w:val="000000"/>
        </w:rPr>
        <w:t>Согласно результатам РФА, рН реакционной смеси при прочих равных показателях (комнатной температуре, соотношении реагентов 1:9) влияет на образование той или иной фазы. Так, при низких значениях рН (5 и 7) доминирующей фазой является Ce</w:t>
      </w:r>
      <w:r w:rsidRPr="00565D32">
        <w:rPr>
          <w:color w:val="000000"/>
          <w:vertAlign w:val="subscript"/>
        </w:rPr>
        <w:t>2</w:t>
      </w:r>
      <w:r w:rsidRPr="00565D32">
        <w:rPr>
          <w:color w:val="000000"/>
        </w:rPr>
        <w:t>(CO</w:t>
      </w:r>
      <w:r w:rsidRPr="00565D32">
        <w:rPr>
          <w:color w:val="000000"/>
          <w:vertAlign w:val="subscript"/>
        </w:rPr>
        <w:t>3</w:t>
      </w:r>
      <w:r w:rsidRPr="00565D32">
        <w:rPr>
          <w:color w:val="000000"/>
        </w:rPr>
        <w:t>)</w:t>
      </w:r>
      <w:r w:rsidRPr="00565D32">
        <w:rPr>
          <w:color w:val="000000"/>
          <w:vertAlign w:val="subscript"/>
        </w:rPr>
        <w:t>3</w:t>
      </w:r>
      <w:r w:rsidRPr="00565D32">
        <w:rPr>
          <w:color w:val="000000"/>
        </w:rPr>
        <w:t>·8H</w:t>
      </w:r>
      <w:r w:rsidRPr="00565D32">
        <w:rPr>
          <w:color w:val="000000"/>
          <w:vertAlign w:val="subscript"/>
        </w:rPr>
        <w:t>2</w:t>
      </w:r>
      <w:r w:rsidRPr="00565D32">
        <w:rPr>
          <w:color w:val="000000"/>
        </w:rPr>
        <w:t xml:space="preserve">O, но при увеличении рН до 9 образуется новая неизвестная фаза, которая согласно результатам XANES содержит в </w:t>
      </w:r>
      <w:proofErr w:type="gramStart"/>
      <w:r w:rsidRPr="00565D32">
        <w:rPr>
          <w:color w:val="000000"/>
        </w:rPr>
        <w:t>составе Се</w:t>
      </w:r>
      <w:proofErr w:type="gramEnd"/>
      <w:r w:rsidRPr="00565D32">
        <w:rPr>
          <w:color w:val="000000"/>
          <w:vertAlign w:val="superscript"/>
        </w:rPr>
        <w:t>+4</w:t>
      </w:r>
      <w:r w:rsidRPr="00565D32">
        <w:rPr>
          <w:color w:val="000000"/>
        </w:rPr>
        <w:t>. Соотношение реагентов также сказывается на составе получаемых фаз. Так, при высоких содержаниях карбоната по отношению к церию (1:45) образуются две фазы: Ce</w:t>
      </w:r>
      <w:r w:rsidRPr="00565D32">
        <w:rPr>
          <w:color w:val="000000"/>
          <w:vertAlign w:val="subscript"/>
        </w:rPr>
        <w:t>2</w:t>
      </w:r>
      <w:r w:rsidRPr="00565D32">
        <w:rPr>
          <w:color w:val="000000"/>
        </w:rPr>
        <w:t>(CO</w:t>
      </w:r>
      <w:r w:rsidRPr="00565D32">
        <w:rPr>
          <w:color w:val="000000"/>
          <w:vertAlign w:val="subscript"/>
        </w:rPr>
        <w:t>3</w:t>
      </w:r>
      <w:r w:rsidRPr="00565D32">
        <w:rPr>
          <w:color w:val="000000"/>
        </w:rPr>
        <w:t>)</w:t>
      </w:r>
      <w:r w:rsidRPr="00565D32">
        <w:rPr>
          <w:color w:val="000000"/>
          <w:vertAlign w:val="subscript"/>
        </w:rPr>
        <w:t>3</w:t>
      </w:r>
      <w:r w:rsidRPr="00565D32">
        <w:rPr>
          <w:color w:val="000000"/>
        </w:rPr>
        <w:t>·2−3H</w:t>
      </w:r>
      <w:r w:rsidRPr="00565D32">
        <w:rPr>
          <w:color w:val="000000"/>
          <w:vertAlign w:val="subscript"/>
        </w:rPr>
        <w:t>2</w:t>
      </w:r>
      <w:r w:rsidRPr="00565D32">
        <w:rPr>
          <w:color w:val="000000"/>
        </w:rPr>
        <w:t>O и Ce</w:t>
      </w:r>
      <w:r w:rsidRPr="00565D32">
        <w:rPr>
          <w:color w:val="000000"/>
          <w:vertAlign w:val="subscript"/>
        </w:rPr>
        <w:t>2</w:t>
      </w:r>
      <w:r w:rsidRPr="00565D32">
        <w:rPr>
          <w:color w:val="000000"/>
        </w:rPr>
        <w:t>(CO</w:t>
      </w:r>
      <w:r w:rsidRPr="00565D32">
        <w:rPr>
          <w:color w:val="000000"/>
          <w:vertAlign w:val="subscript"/>
        </w:rPr>
        <w:t>3</w:t>
      </w:r>
      <w:r w:rsidRPr="00565D32">
        <w:rPr>
          <w:color w:val="000000"/>
        </w:rPr>
        <w:t>)</w:t>
      </w:r>
      <w:r w:rsidRPr="00565D32">
        <w:rPr>
          <w:color w:val="000000"/>
          <w:vertAlign w:val="subscript"/>
        </w:rPr>
        <w:t>3</w:t>
      </w:r>
      <w:r w:rsidRPr="00565D32">
        <w:rPr>
          <w:color w:val="000000"/>
        </w:rPr>
        <w:t>·8H</w:t>
      </w:r>
      <w:r w:rsidRPr="00565D32">
        <w:rPr>
          <w:color w:val="000000"/>
          <w:vertAlign w:val="subscript"/>
        </w:rPr>
        <w:t>2</w:t>
      </w:r>
      <w:r w:rsidRPr="00565D32">
        <w:rPr>
          <w:color w:val="000000"/>
        </w:rPr>
        <w:t>O, а при понижении концентрации карбоната стабилизируется Ce</w:t>
      </w:r>
      <w:r w:rsidRPr="00565D32">
        <w:rPr>
          <w:color w:val="000000"/>
          <w:vertAlign w:val="subscript"/>
        </w:rPr>
        <w:t>2</w:t>
      </w:r>
      <w:r w:rsidRPr="00565D32">
        <w:rPr>
          <w:color w:val="000000"/>
        </w:rPr>
        <w:t>(CO</w:t>
      </w:r>
      <w:r w:rsidRPr="00565D32">
        <w:rPr>
          <w:color w:val="000000"/>
          <w:vertAlign w:val="subscript"/>
        </w:rPr>
        <w:t>3</w:t>
      </w:r>
      <w:r w:rsidRPr="00565D32">
        <w:rPr>
          <w:color w:val="000000"/>
        </w:rPr>
        <w:t>)</w:t>
      </w:r>
      <w:r w:rsidRPr="00565D32">
        <w:rPr>
          <w:color w:val="000000"/>
          <w:vertAlign w:val="subscript"/>
        </w:rPr>
        <w:t>3</w:t>
      </w:r>
      <w:r w:rsidRPr="00565D32">
        <w:rPr>
          <w:color w:val="000000"/>
        </w:rPr>
        <w:t>·2−3H</w:t>
      </w:r>
      <w:r w:rsidRPr="00565D32">
        <w:rPr>
          <w:color w:val="000000"/>
          <w:vertAlign w:val="subscript"/>
        </w:rPr>
        <w:t>2</w:t>
      </w:r>
      <w:r w:rsidRPr="00565D32">
        <w:rPr>
          <w:color w:val="000000"/>
        </w:rPr>
        <w:t>O.</w:t>
      </w:r>
    </w:p>
    <w:p w14:paraId="68174336" w14:textId="0C00E3ED" w:rsidR="00565D32" w:rsidRPr="00565D32" w:rsidRDefault="00142F50" w:rsidP="00565D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Также п</w:t>
      </w:r>
      <w:r w:rsidR="00565D32" w:rsidRPr="00565D32">
        <w:rPr>
          <w:color w:val="000000"/>
        </w:rPr>
        <w:t xml:space="preserve">о результатам работы было установлено, что температура ГТ обработки раствора </w:t>
      </w:r>
      <w:proofErr w:type="spellStart"/>
      <w:proofErr w:type="gramStart"/>
      <w:r w:rsidR="00565D32" w:rsidRPr="00565D32">
        <w:rPr>
          <w:color w:val="000000"/>
        </w:rPr>
        <w:t>Ce</w:t>
      </w:r>
      <w:proofErr w:type="spellEnd"/>
      <w:r w:rsidR="00565D32" w:rsidRPr="00565D32">
        <w:rPr>
          <w:color w:val="000000"/>
        </w:rPr>
        <w:t>(</w:t>
      </w:r>
      <w:proofErr w:type="gramEnd"/>
      <w:r w:rsidR="00565D32" w:rsidRPr="00565D32">
        <w:rPr>
          <w:color w:val="000000"/>
        </w:rPr>
        <w:t>III) с NaHCO</w:t>
      </w:r>
      <w:r w:rsidR="00565D32" w:rsidRPr="00565D32">
        <w:rPr>
          <w:color w:val="000000"/>
          <w:vertAlign w:val="subscript"/>
        </w:rPr>
        <w:t>3</w:t>
      </w:r>
      <w:r w:rsidR="00565D32" w:rsidRPr="00565D32">
        <w:rPr>
          <w:color w:val="000000"/>
        </w:rPr>
        <w:t xml:space="preserve"> в соотношении 1:6 при </w:t>
      </w:r>
      <w:proofErr w:type="spellStart"/>
      <w:r w:rsidR="00565D32" w:rsidRPr="00565D32">
        <w:rPr>
          <w:color w:val="000000"/>
        </w:rPr>
        <w:t>pH</w:t>
      </w:r>
      <w:proofErr w:type="spellEnd"/>
      <w:r w:rsidR="00565D32" w:rsidRPr="00565D32">
        <w:rPr>
          <w:color w:val="000000"/>
        </w:rPr>
        <w:t> = 5 оказывает значительное влияние на структуру, состав и морфологию результирующей твёрдой фазы. Так, при 85°С образуется орторомбический СеOHCO</w:t>
      </w:r>
      <w:r w:rsidR="00565D32" w:rsidRPr="00565D32">
        <w:rPr>
          <w:color w:val="000000"/>
          <w:vertAlign w:val="subscript"/>
        </w:rPr>
        <w:t>3</w:t>
      </w:r>
      <w:r w:rsidR="00565D32" w:rsidRPr="00565D32">
        <w:rPr>
          <w:color w:val="000000"/>
        </w:rPr>
        <w:t xml:space="preserve"> в виде палочек. При 120°С ‒ </w:t>
      </w:r>
      <w:proofErr w:type="spellStart"/>
      <w:r w:rsidR="00565D32" w:rsidRPr="00565D32">
        <w:rPr>
          <w:rFonts w:hint="eastAsia"/>
          <w:color w:val="000000"/>
        </w:rPr>
        <w:t>смесь</w:t>
      </w:r>
      <w:proofErr w:type="spellEnd"/>
      <w:r w:rsidR="00565D32" w:rsidRPr="00565D32">
        <w:rPr>
          <w:color w:val="000000"/>
        </w:rPr>
        <w:t xml:space="preserve"> </w:t>
      </w:r>
      <w:proofErr w:type="spellStart"/>
      <w:r w:rsidR="00565D32" w:rsidRPr="00565D32">
        <w:rPr>
          <w:rFonts w:hint="eastAsia"/>
          <w:color w:val="000000"/>
        </w:rPr>
        <w:t>орторомбического</w:t>
      </w:r>
      <w:proofErr w:type="spellEnd"/>
      <w:r w:rsidR="00565D32" w:rsidRPr="00565D32">
        <w:rPr>
          <w:color w:val="000000"/>
        </w:rPr>
        <w:t xml:space="preserve"> </w:t>
      </w:r>
      <w:r w:rsidR="00565D32" w:rsidRPr="00565D32">
        <w:rPr>
          <w:rFonts w:hint="eastAsia"/>
          <w:color w:val="000000"/>
        </w:rPr>
        <w:t>и</w:t>
      </w:r>
      <w:r w:rsidR="00565D32" w:rsidRPr="00565D32">
        <w:rPr>
          <w:color w:val="000000"/>
        </w:rPr>
        <w:t xml:space="preserve"> </w:t>
      </w:r>
      <w:proofErr w:type="spellStart"/>
      <w:r w:rsidR="00565D32" w:rsidRPr="00565D32">
        <w:rPr>
          <w:rFonts w:hint="eastAsia"/>
          <w:color w:val="000000"/>
        </w:rPr>
        <w:t>гексагонального</w:t>
      </w:r>
      <w:proofErr w:type="spellEnd"/>
      <w:r w:rsidR="00565D32" w:rsidRPr="00565D32">
        <w:rPr>
          <w:color w:val="000000"/>
        </w:rPr>
        <w:t xml:space="preserve"> </w:t>
      </w:r>
      <w:proofErr w:type="spellStart"/>
      <w:r w:rsidR="00565D32" w:rsidRPr="00565D32">
        <w:rPr>
          <w:rFonts w:hint="eastAsia"/>
          <w:color w:val="000000"/>
        </w:rPr>
        <w:t>Се</w:t>
      </w:r>
      <w:proofErr w:type="spellEnd"/>
      <w:r w:rsidR="00565D32" w:rsidRPr="00565D32">
        <w:rPr>
          <w:color w:val="000000"/>
        </w:rPr>
        <w:t>OHCO</w:t>
      </w:r>
      <w:r w:rsidR="00565D32" w:rsidRPr="00565D32">
        <w:rPr>
          <w:color w:val="000000"/>
          <w:vertAlign w:val="subscript"/>
        </w:rPr>
        <w:t>3</w:t>
      </w:r>
      <w:r w:rsidR="00565D32" w:rsidRPr="00565D32">
        <w:rPr>
          <w:color w:val="000000"/>
        </w:rPr>
        <w:t>, с морфологией расслоившихся палочек и сфер. При 150°С образуется смесь орторомбического и гексагонального СеOHCO</w:t>
      </w:r>
      <w:r w:rsidR="00565D32" w:rsidRPr="00565D32">
        <w:rPr>
          <w:color w:val="000000"/>
          <w:vertAlign w:val="subscript"/>
        </w:rPr>
        <w:t>3</w:t>
      </w:r>
      <w:r w:rsidR="00565D32" w:rsidRPr="00565D32">
        <w:rPr>
          <w:color w:val="000000"/>
        </w:rPr>
        <w:t xml:space="preserve">, а также диоксид церия. </w:t>
      </w:r>
    </w:p>
    <w:p w14:paraId="74651DB4" w14:textId="77777777" w:rsidR="00565D32" w:rsidRPr="00565D32" w:rsidRDefault="00565D32" w:rsidP="00565D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5D32">
        <w:rPr>
          <w:color w:val="000000"/>
        </w:rPr>
        <w:t xml:space="preserve">Также в ходе работы была впервые исследована растворимость орторомбического СеOHCO3 на воздухе в растворе </w:t>
      </w:r>
      <w:proofErr w:type="spellStart"/>
      <w:r w:rsidRPr="00565D32">
        <w:rPr>
          <w:color w:val="000000"/>
        </w:rPr>
        <w:t>NaClO</w:t>
      </w:r>
      <w:proofErr w:type="spellEnd"/>
      <w:proofErr w:type="gramStart"/>
      <w:r w:rsidRPr="00565D32">
        <w:rPr>
          <w:color w:val="000000"/>
          <w:vertAlign w:val="subscript"/>
        </w:rPr>
        <w:t>4</w:t>
      </w:r>
      <w:r w:rsidRPr="00565D32">
        <w:rPr>
          <w:color w:val="000000"/>
        </w:rPr>
        <w:t xml:space="preserve">  в</w:t>
      </w:r>
      <w:proofErr w:type="gramEnd"/>
      <w:r w:rsidRPr="00565D32">
        <w:rPr>
          <w:color w:val="000000"/>
        </w:rPr>
        <w:t xml:space="preserve"> диапазоне рН 3-10, эксперименты проводились в режиме недосыщения. Было установлено, что логарифм концентрации церия в растворе постепенно снижается с значения -2,5 до -8,5 в диапазоне рН 3-8,3, а затем возрастает до значения -6,6 при рН 9,6.</w:t>
      </w:r>
    </w:p>
    <w:p w14:paraId="663176E7" w14:textId="3AA6EE8C" w:rsidR="00565D32" w:rsidRDefault="00565D32" w:rsidP="00565D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5D32">
        <w:rPr>
          <w:color w:val="000000"/>
        </w:rPr>
        <w:t>Работа выполнена при финансовой поддержке РНФ, проект 22-73-10056.</w:t>
      </w:r>
    </w:p>
    <w:p w14:paraId="311A4D2C" w14:textId="77777777" w:rsidR="00142F50" w:rsidRDefault="00142F50" w:rsidP="00565D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5CE0A64" w14:textId="3E10733B" w:rsidR="00142F50" w:rsidRPr="00565D32" w:rsidRDefault="00142F50" w:rsidP="00142F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2AB6725" w14:textId="25AEB6C8" w:rsidR="00565D32" w:rsidRPr="00142F50" w:rsidRDefault="00142F50" w:rsidP="00142F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42F50">
        <w:rPr>
          <w:color w:val="000000"/>
          <w:lang w:val="en-US"/>
        </w:rPr>
        <w:t xml:space="preserve">1. </w:t>
      </w:r>
      <w:proofErr w:type="spellStart"/>
      <w:r w:rsidR="00565D32" w:rsidRPr="00142F50">
        <w:rPr>
          <w:color w:val="000000"/>
          <w:lang w:val="en-US"/>
        </w:rPr>
        <w:t>Dahle</w:t>
      </w:r>
      <w:proofErr w:type="spellEnd"/>
      <w:r w:rsidR="00565D32" w:rsidRPr="00142F50">
        <w:rPr>
          <w:color w:val="000000"/>
          <w:lang w:val="en-US"/>
        </w:rPr>
        <w:t xml:space="preserve"> T. J., Arai Y. Environmental Geochemistry of Cerium: Applications and Toxicology of Cerium Oxide Nanoparticles // Int. J. Environ. Res. Public Health. 2015. Vol. 12. P. 1253-1278.</w:t>
      </w:r>
    </w:p>
    <w:p w14:paraId="3486C755" w14:textId="590F626E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43113"/>
    <w:multiLevelType w:val="hybridMultilevel"/>
    <w:tmpl w:val="CFB6F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00CFB"/>
    <w:multiLevelType w:val="hybridMultilevel"/>
    <w:tmpl w:val="8E7A7914"/>
    <w:lvl w:ilvl="0" w:tplc="D91A37E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C3390"/>
    <w:multiLevelType w:val="hybridMultilevel"/>
    <w:tmpl w:val="3E84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2F50"/>
    <w:rsid w:val="001E61C2"/>
    <w:rsid w:val="001F0493"/>
    <w:rsid w:val="0022260A"/>
    <w:rsid w:val="002264EE"/>
    <w:rsid w:val="0023307C"/>
    <w:rsid w:val="002C14F3"/>
    <w:rsid w:val="0031361E"/>
    <w:rsid w:val="00391C38"/>
    <w:rsid w:val="003B76D6"/>
    <w:rsid w:val="003E2601"/>
    <w:rsid w:val="003F4E6B"/>
    <w:rsid w:val="004A26A3"/>
    <w:rsid w:val="004F0EDF"/>
    <w:rsid w:val="00522BF1"/>
    <w:rsid w:val="00565D32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86BDE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аголовок_тезисов"/>
    <w:basedOn w:val="a"/>
    <w:link w:val="ad"/>
    <w:qFormat/>
    <w:rsid w:val="00E86BDE"/>
    <w:pPr>
      <w:spacing w:line="360" w:lineRule="auto"/>
      <w:ind w:right="-1"/>
      <w:jc w:val="center"/>
    </w:pPr>
    <w:rPr>
      <w:rFonts w:cs="Arial"/>
      <w:b/>
      <w:caps/>
      <w:sz w:val="28"/>
      <w:szCs w:val="28"/>
      <w:lang w:bidi="en-US"/>
    </w:rPr>
  </w:style>
  <w:style w:type="character" w:customStyle="1" w:styleId="ad">
    <w:name w:val="Заголовок_тезисов Знак"/>
    <w:link w:val="ac"/>
    <w:rsid w:val="00E86BDE"/>
    <w:rPr>
      <w:rFonts w:ascii="Times New Roman" w:eastAsia="Times New Roman" w:hAnsi="Times New Roman" w:cs="Arial"/>
      <w:b/>
      <w:caps/>
      <w:sz w:val="28"/>
      <w:szCs w:val="28"/>
      <w:lang w:bidi="en-US"/>
    </w:rPr>
  </w:style>
  <w:style w:type="paragraph" w:customStyle="1" w:styleId="ae">
    <w:name w:val="Авторы_тезисы"/>
    <w:basedOn w:val="a"/>
    <w:link w:val="af"/>
    <w:qFormat/>
    <w:rsid w:val="00E86BDE"/>
    <w:pPr>
      <w:spacing w:line="360" w:lineRule="auto"/>
      <w:ind w:right="-1"/>
      <w:jc w:val="center"/>
    </w:pPr>
    <w:rPr>
      <w:rFonts w:eastAsia="Batang" w:cs="Arial"/>
      <w:i/>
      <w:lang w:eastAsia="en-US" w:bidi="en-US"/>
    </w:rPr>
  </w:style>
  <w:style w:type="character" w:customStyle="1" w:styleId="af">
    <w:name w:val="Авторы_тезисы Знак"/>
    <w:link w:val="ae"/>
    <w:rsid w:val="00E86BDE"/>
    <w:rPr>
      <w:rFonts w:ascii="Times New Roman" w:eastAsia="Batang" w:hAnsi="Times New Roman" w:cs="Arial"/>
      <w:i/>
      <w:sz w:val="24"/>
      <w:szCs w:val="24"/>
      <w:lang w:eastAsia="en-US" w:bidi="en-US"/>
    </w:rPr>
  </w:style>
  <w:style w:type="character" w:customStyle="1" w:styleId="af0">
    <w:name w:val="Текст_тезисы Знак"/>
    <w:link w:val="af1"/>
    <w:locked/>
    <w:rsid w:val="00565D32"/>
    <w:rPr>
      <w:rFonts w:ascii="Batang" w:eastAsia="Batang" w:hAnsi="Batang" w:cs="Arial"/>
      <w:color w:val="000000"/>
      <w:sz w:val="24"/>
      <w:szCs w:val="24"/>
      <w:lang w:eastAsia="en-US" w:bidi="en-US"/>
    </w:rPr>
  </w:style>
  <w:style w:type="paragraph" w:customStyle="1" w:styleId="af1">
    <w:name w:val="Текст_тезисы"/>
    <w:basedOn w:val="a"/>
    <w:link w:val="af0"/>
    <w:qFormat/>
    <w:rsid w:val="00565D32"/>
    <w:pPr>
      <w:spacing w:line="360" w:lineRule="auto"/>
      <w:ind w:right="-1" w:firstLine="567"/>
      <w:jc w:val="both"/>
    </w:pPr>
    <w:rPr>
      <w:rFonts w:ascii="Batang" w:eastAsia="Batang" w:hAnsi="Batang" w:cs="Arial"/>
      <w:color w:val="00000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la.nik290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Никита</cp:lastModifiedBy>
  <cp:revision>5</cp:revision>
  <dcterms:created xsi:type="dcterms:W3CDTF">2024-12-16T00:35:00Z</dcterms:created>
  <dcterms:modified xsi:type="dcterms:W3CDTF">2025-03-05T20:59:00Z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