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5A71" w14:textId="6E04DF38" w:rsidR="00F23482" w:rsidRDefault="009E5B8A" w:rsidP="00F234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Т</w:t>
      </w:r>
      <w:r w:rsidR="006329B9" w:rsidRPr="006329B9">
        <w:rPr>
          <w:b/>
          <w:color w:val="000000"/>
        </w:rPr>
        <w:t>Термическая стабильность твердофазных экстрагентов с различными функциональными группами применительно к переработке ОЯТ и обращени</w:t>
      </w:r>
      <w:r w:rsidR="007F2D30">
        <w:rPr>
          <w:b/>
          <w:color w:val="000000"/>
        </w:rPr>
        <w:t>ю</w:t>
      </w:r>
      <w:r w:rsidR="006329B9" w:rsidRPr="006329B9">
        <w:rPr>
          <w:b/>
          <w:color w:val="000000"/>
        </w:rPr>
        <w:t xml:space="preserve"> с РАО</w:t>
      </w:r>
    </w:p>
    <w:p w14:paraId="3377369E" w14:textId="2B4F89F2" w:rsidR="006329B9" w:rsidRPr="007C75BF" w:rsidRDefault="006329B9" w:rsidP="00632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Шеламов К.В.</w:t>
      </w:r>
      <w:r w:rsidRPr="006329B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Кощеева А.М.</w:t>
      </w:r>
      <w:r>
        <w:rPr>
          <w:b/>
          <w:i/>
          <w:color w:val="000000"/>
          <w:vertAlign w:val="superscript"/>
        </w:rPr>
        <w:t>1</w:t>
      </w:r>
      <w:r w:rsidR="00E46506">
        <w:rPr>
          <w:b/>
          <w:i/>
          <w:color w:val="000000"/>
        </w:rPr>
        <w:t>, Родин А.В.</w:t>
      </w:r>
      <w:r w:rsidR="007C75BF" w:rsidRPr="007C75BF">
        <w:rPr>
          <w:b/>
          <w:i/>
          <w:color w:val="000000"/>
          <w:vertAlign w:val="superscript"/>
        </w:rPr>
        <w:t>2</w:t>
      </w:r>
    </w:p>
    <w:p w14:paraId="3D8D202B" w14:textId="31A549EC" w:rsidR="006329B9" w:rsidRDefault="0049608E" w:rsidP="00F234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2D11A80B" w14:textId="07CAEE82" w:rsidR="0049608E" w:rsidRDefault="0049608E" w:rsidP="00F234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9608E">
        <w:rPr>
          <w:i/>
          <w:color w:val="000000"/>
          <w:vertAlign w:val="superscript"/>
        </w:rPr>
        <w:t>1</w:t>
      </w:r>
      <w:r>
        <w:rPr>
          <w:i/>
          <w:color w:val="000000"/>
        </w:rPr>
        <w:t>ФБУ «Научно-технический центр по ядерной и радиационной безопасности», Москва, Россия</w:t>
      </w:r>
    </w:p>
    <w:p w14:paraId="35B6D652" w14:textId="349F520A" w:rsidR="0049608E" w:rsidRDefault="007C75BF" w:rsidP="00F234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C75BF">
        <w:rPr>
          <w:i/>
          <w:color w:val="000000"/>
          <w:vertAlign w:val="superscript"/>
        </w:rPr>
        <w:t>2</w:t>
      </w:r>
      <w:r w:rsidR="0049608E" w:rsidRPr="0049608E">
        <w:rPr>
          <w:i/>
          <w:color w:val="000000"/>
        </w:rPr>
        <w:t>Институт физической химии и электрохимии имени А. Н. Фрумкина РАН</w:t>
      </w:r>
      <w:r w:rsidR="0049608E">
        <w:rPr>
          <w:i/>
          <w:color w:val="000000"/>
        </w:rPr>
        <w:t>, Москва, Россия</w:t>
      </w:r>
    </w:p>
    <w:p w14:paraId="03270466" w14:textId="4E35322A" w:rsidR="00737473" w:rsidRPr="000D255D" w:rsidRDefault="00737473" w:rsidP="00F234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lang w:val="en-US"/>
        </w:rPr>
        <w:t>E</w:t>
      </w:r>
      <w:r w:rsidRPr="000D255D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0D255D">
        <w:rPr>
          <w:i/>
          <w:color w:val="000000"/>
        </w:rPr>
        <w:t xml:space="preserve">: </w:t>
      </w:r>
      <w:r w:rsidRPr="00737473">
        <w:rPr>
          <w:i/>
          <w:color w:val="000000"/>
          <w:lang w:val="en-US"/>
        </w:rPr>
        <w:t>shelamov</w:t>
      </w:r>
      <w:r w:rsidRPr="000D255D">
        <w:rPr>
          <w:i/>
          <w:color w:val="000000"/>
        </w:rPr>
        <w:t>@</w:t>
      </w:r>
      <w:r w:rsidRPr="00737473">
        <w:rPr>
          <w:i/>
          <w:color w:val="000000"/>
          <w:lang w:val="en-US"/>
        </w:rPr>
        <w:t>secnrs</w:t>
      </w:r>
      <w:r w:rsidRPr="000D255D">
        <w:rPr>
          <w:i/>
          <w:color w:val="000000"/>
        </w:rPr>
        <w:t>.</w:t>
      </w:r>
      <w:r w:rsidRPr="00737473">
        <w:rPr>
          <w:i/>
          <w:color w:val="000000"/>
          <w:lang w:val="en-US"/>
        </w:rPr>
        <w:t>ru</w:t>
      </w:r>
    </w:p>
    <w:p w14:paraId="4AC0AA1A" w14:textId="2BD780E6" w:rsidR="00F24A83" w:rsidRDefault="00C0660A" w:rsidP="00A63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повышения эффективности процессов переработки отработавшего ядерного топлива (ОЯТ)</w:t>
      </w:r>
      <w:r w:rsidR="00930818">
        <w:rPr>
          <w:color w:val="000000"/>
        </w:rPr>
        <w:t xml:space="preserve"> </w:t>
      </w:r>
      <w:r w:rsidR="000D255D">
        <w:rPr>
          <w:color w:val="000000"/>
        </w:rPr>
        <w:t>возможно использование</w:t>
      </w:r>
      <w:r w:rsidR="00930818">
        <w:rPr>
          <w:color w:val="000000"/>
        </w:rPr>
        <w:t xml:space="preserve"> новых материалов, например, твердых экстрагентов (ТВЭКС). Они представляют собой сшитую полистирол-дивинилбензольную матрицу с закрепленной на ней функциональной группо</w:t>
      </w:r>
      <w:r w:rsidR="00D479EF">
        <w:rPr>
          <w:color w:val="000000"/>
        </w:rPr>
        <w:t>й. Объектом исследования в данной работе являются ТВЭКС на основе трибутилфосфата (ТБФ)</w:t>
      </w:r>
      <w:r w:rsidR="00D479EF" w:rsidRPr="00D479EF">
        <w:rPr>
          <w:color w:val="000000"/>
        </w:rPr>
        <w:t>, дибензо-21-краун-7 (ДБ21К7)</w:t>
      </w:r>
      <w:r w:rsidR="002414C1">
        <w:rPr>
          <w:color w:val="000000"/>
        </w:rPr>
        <w:t>.</w:t>
      </w:r>
      <w:r w:rsidR="001F2CD6">
        <w:rPr>
          <w:color w:val="000000"/>
        </w:rPr>
        <w:t xml:space="preserve"> ТБФ обладает высокой экстракционной способностью к урану и плутонию, ДБ21К7 – к цезию.</w:t>
      </w:r>
      <w:r w:rsidR="002414C1">
        <w:rPr>
          <w:color w:val="000000"/>
        </w:rPr>
        <w:t xml:space="preserve"> Целью работы являлось изучение процесса термического разложения </w:t>
      </w:r>
      <w:r w:rsidR="00C8313A">
        <w:rPr>
          <w:color w:val="000000"/>
        </w:rPr>
        <w:t>ТВЭКС-ТБФ</w:t>
      </w:r>
      <w:r w:rsidR="007C75BF" w:rsidRPr="007C75BF">
        <w:rPr>
          <w:color w:val="000000"/>
        </w:rPr>
        <w:t xml:space="preserve"> </w:t>
      </w:r>
      <w:r w:rsidR="007C75BF">
        <w:rPr>
          <w:color w:val="000000"/>
        </w:rPr>
        <w:t xml:space="preserve">и </w:t>
      </w:r>
      <w:r w:rsidR="00C8313A">
        <w:rPr>
          <w:color w:val="000000"/>
        </w:rPr>
        <w:t>ТВЭКС-ДБ2</w:t>
      </w:r>
      <w:r w:rsidR="00167F35">
        <w:rPr>
          <w:color w:val="000000"/>
        </w:rPr>
        <w:t>1</w:t>
      </w:r>
      <w:r w:rsidR="00C8313A">
        <w:rPr>
          <w:color w:val="000000"/>
        </w:rPr>
        <w:t>К7</w:t>
      </w:r>
      <w:r w:rsidR="002414C1">
        <w:rPr>
          <w:color w:val="000000"/>
        </w:rPr>
        <w:t xml:space="preserve"> в азотнокислых средах, применяемых в процессах переработки ОЯТ.</w:t>
      </w:r>
    </w:p>
    <w:p w14:paraId="2EFE0CCF" w14:textId="21B46514" w:rsidR="002414C1" w:rsidRDefault="00554D10" w:rsidP="00A63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Методом дифференциально-</w:t>
      </w:r>
      <w:r w:rsidR="00AC2292">
        <w:rPr>
          <w:color w:val="000000"/>
        </w:rPr>
        <w:t>с</w:t>
      </w:r>
      <w:r>
        <w:rPr>
          <w:color w:val="000000"/>
        </w:rPr>
        <w:t>канирующей калориметрии (ДСК) исс</w:t>
      </w:r>
      <w:r w:rsidR="00AC2292">
        <w:rPr>
          <w:color w:val="000000"/>
        </w:rPr>
        <w:t>ледовано поведение образцов при нагревании</w:t>
      </w:r>
      <w:r w:rsidR="00442199">
        <w:rPr>
          <w:color w:val="000000"/>
        </w:rPr>
        <w:t xml:space="preserve"> применительно к условиям нормальной эксплуатации (изобарные условия – открытые тигли) и аварийным режимам (изохорные условия – закрытые тигли).</w:t>
      </w:r>
      <w:r w:rsidR="0015636C">
        <w:rPr>
          <w:color w:val="000000"/>
        </w:rPr>
        <w:t xml:space="preserve"> </w:t>
      </w:r>
      <w:r w:rsidR="0047614C">
        <w:rPr>
          <w:color w:val="000000"/>
        </w:rPr>
        <w:t>Варьировали следующие условия нагрева: атмосфера (инертная или воздушная), скорость (от 1 до 5 К</w:t>
      </w:r>
      <w:r w:rsidR="00EC3749">
        <w:rPr>
          <w:color w:val="000000"/>
        </w:rPr>
        <w:t>/мин)</w:t>
      </w:r>
      <w:r w:rsidR="00205C5E">
        <w:rPr>
          <w:color w:val="000000"/>
        </w:rPr>
        <w:t>. Газообразные продукты разложения материалов определяли с помощью газового хроматомасс-спектрометра, соединенного с синхронным термическим анализатором</w:t>
      </w:r>
      <w:r w:rsidR="007E61F3">
        <w:rPr>
          <w:color w:val="000000"/>
        </w:rPr>
        <w:t xml:space="preserve"> (СТА)</w:t>
      </w:r>
      <w:r w:rsidR="00205C5E">
        <w:rPr>
          <w:color w:val="000000"/>
        </w:rPr>
        <w:t xml:space="preserve">. Для этого 1 раз в 5 минут производили впуск </w:t>
      </w:r>
      <w:r w:rsidR="007E61F3">
        <w:rPr>
          <w:color w:val="000000"/>
        </w:rPr>
        <w:t xml:space="preserve">газов из СТА в </w:t>
      </w:r>
      <w:r w:rsidR="001C4DE8">
        <w:rPr>
          <w:color w:val="000000"/>
        </w:rPr>
        <w:t xml:space="preserve">хроматографическую колону длиной 30 м, </w:t>
      </w:r>
      <w:r w:rsidR="007E61F3">
        <w:rPr>
          <w:color w:val="000000"/>
        </w:rPr>
        <w:t xml:space="preserve">термостатируемую при 80 ℃, после разделения </w:t>
      </w:r>
      <w:r w:rsidR="006A0755">
        <w:rPr>
          <w:color w:val="000000"/>
        </w:rPr>
        <w:t>в колонке</w:t>
      </w:r>
      <w:r w:rsidR="00E21F59" w:rsidRPr="00E21F59">
        <w:rPr>
          <w:color w:val="000000"/>
        </w:rPr>
        <w:t xml:space="preserve"> </w:t>
      </w:r>
      <w:r w:rsidR="00E21F59">
        <w:rPr>
          <w:color w:val="000000"/>
        </w:rPr>
        <w:t>продукты</w:t>
      </w:r>
      <w:r w:rsidR="006A0755">
        <w:rPr>
          <w:color w:val="000000"/>
        </w:rPr>
        <w:t xml:space="preserve"> </w:t>
      </w:r>
      <w:r w:rsidR="007E61F3">
        <w:rPr>
          <w:color w:val="000000"/>
        </w:rPr>
        <w:t>попадали в масс-спектрометр</w:t>
      </w:r>
      <w:r w:rsidR="00CE5608">
        <w:rPr>
          <w:color w:val="000000"/>
        </w:rPr>
        <w:t>, где осуществлялась ионизация электронным ударом.</w:t>
      </w:r>
    </w:p>
    <w:p w14:paraId="104377FE" w14:textId="240901A7" w:rsidR="001F2CD6" w:rsidRPr="000D255D" w:rsidRDefault="00C16660" w:rsidP="00A63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Результаты исследования при атмосферном давлении показывают, что нагрев ТВЭКС-ТБФ</w:t>
      </w:r>
      <w:r w:rsidR="00651DD5">
        <w:rPr>
          <w:color w:val="000000"/>
        </w:rPr>
        <w:t>, насыщенного 4–7 моль/л азотной кислотой,</w:t>
      </w:r>
      <w:r>
        <w:rPr>
          <w:color w:val="000000"/>
        </w:rPr>
        <w:t xml:space="preserve"> </w:t>
      </w:r>
      <w:r w:rsidR="00651DD5">
        <w:rPr>
          <w:color w:val="000000"/>
        </w:rPr>
        <w:t>сопровождается экзотермическими процессами интенсивностью не выше 50 Дж/г</w:t>
      </w:r>
      <w:r w:rsidR="009116E5">
        <w:rPr>
          <w:color w:val="000000"/>
        </w:rPr>
        <w:t xml:space="preserve"> при температурах 140–180 ℃</w:t>
      </w:r>
      <w:r w:rsidR="00651DD5">
        <w:rPr>
          <w:color w:val="000000"/>
        </w:rPr>
        <w:t>.</w:t>
      </w:r>
      <w:r w:rsidR="00DD6237">
        <w:rPr>
          <w:color w:val="000000"/>
        </w:rPr>
        <w:t xml:space="preserve"> </w:t>
      </w:r>
      <w:r w:rsidR="00987CD2">
        <w:rPr>
          <w:color w:val="000000"/>
        </w:rPr>
        <w:t>ТВЭКС-ДБ21К7</w:t>
      </w:r>
      <w:r w:rsidR="000F505F">
        <w:rPr>
          <w:color w:val="000000"/>
        </w:rPr>
        <w:t>, насыщенны</w:t>
      </w:r>
      <w:r w:rsidR="0028328F">
        <w:rPr>
          <w:color w:val="000000"/>
        </w:rPr>
        <w:t>й</w:t>
      </w:r>
      <w:r w:rsidR="000F505F">
        <w:rPr>
          <w:color w:val="000000"/>
        </w:rPr>
        <w:t xml:space="preserve"> 6 моль/л азотной кислотой,</w:t>
      </w:r>
      <w:r w:rsidR="00987CD2">
        <w:rPr>
          <w:color w:val="000000"/>
        </w:rPr>
        <w:t xml:space="preserve"> разлага</w:t>
      </w:r>
      <w:r w:rsidR="0028328F">
        <w:rPr>
          <w:color w:val="000000"/>
        </w:rPr>
        <w:t>е</w:t>
      </w:r>
      <w:r w:rsidR="00987CD2">
        <w:rPr>
          <w:color w:val="000000"/>
        </w:rPr>
        <w:t xml:space="preserve">тся </w:t>
      </w:r>
      <w:r w:rsidR="00D86E8F">
        <w:rPr>
          <w:color w:val="000000"/>
        </w:rPr>
        <w:t xml:space="preserve">с тепловыделением порядка 350 Дж/г </w:t>
      </w:r>
      <w:r w:rsidR="00987CD2">
        <w:rPr>
          <w:color w:val="000000"/>
        </w:rPr>
        <w:t xml:space="preserve">в температурных диапазонах </w:t>
      </w:r>
      <w:r w:rsidR="000F505F">
        <w:rPr>
          <w:color w:val="000000"/>
        </w:rPr>
        <w:t>200–350</w:t>
      </w:r>
      <w:r w:rsidR="00D86E8F">
        <w:rPr>
          <w:color w:val="000000"/>
        </w:rPr>
        <w:t> </w:t>
      </w:r>
      <w:r w:rsidR="000F505F">
        <w:rPr>
          <w:color w:val="000000"/>
        </w:rPr>
        <w:t>℃, что позволяет классифицировать</w:t>
      </w:r>
      <w:r w:rsidR="00FC1891">
        <w:rPr>
          <w:color w:val="000000"/>
        </w:rPr>
        <w:t xml:space="preserve"> </w:t>
      </w:r>
      <w:r w:rsidR="00363648">
        <w:rPr>
          <w:color w:val="000000"/>
        </w:rPr>
        <w:t>его</w:t>
      </w:r>
      <w:r w:rsidR="00FC1891">
        <w:rPr>
          <w:color w:val="000000"/>
        </w:rPr>
        <w:t xml:space="preserve"> как веществ</w:t>
      </w:r>
      <w:r w:rsidR="00363648">
        <w:rPr>
          <w:color w:val="000000"/>
        </w:rPr>
        <w:t>о</w:t>
      </w:r>
      <w:r w:rsidR="00FC1891">
        <w:rPr>
          <w:color w:val="000000"/>
        </w:rPr>
        <w:t>, способн</w:t>
      </w:r>
      <w:r w:rsidR="00363648">
        <w:rPr>
          <w:color w:val="000000"/>
        </w:rPr>
        <w:t>ое</w:t>
      </w:r>
      <w:r w:rsidR="00FC1891">
        <w:rPr>
          <w:color w:val="000000"/>
        </w:rPr>
        <w:t xml:space="preserve"> к саморазложению </w:t>
      </w:r>
      <w:r w:rsidR="00FC1891" w:rsidRPr="000D255D">
        <w:rPr>
          <w:color w:val="000000"/>
        </w:rPr>
        <w:t>(</w:t>
      </w:r>
      <w:r w:rsidR="00FC1891">
        <w:rPr>
          <w:color w:val="000000"/>
        </w:rPr>
        <w:t>класс</w:t>
      </w:r>
      <w:r w:rsidR="00FC1891" w:rsidRPr="000D255D">
        <w:rPr>
          <w:color w:val="000000"/>
        </w:rPr>
        <w:t xml:space="preserve"> 4.1</w:t>
      </w:r>
      <w:r w:rsidR="00FC1891">
        <w:rPr>
          <w:color w:val="000000"/>
          <w:lang w:val="en-US"/>
        </w:rPr>
        <w:t>b</w:t>
      </w:r>
      <w:r w:rsidR="00FC1891" w:rsidRPr="000D255D">
        <w:rPr>
          <w:color w:val="000000"/>
        </w:rPr>
        <w:t xml:space="preserve"> </w:t>
      </w:r>
      <w:r w:rsidR="00B95CD6">
        <w:rPr>
          <w:color w:val="000000"/>
        </w:rPr>
        <w:t>согласно</w:t>
      </w:r>
      <w:r w:rsidR="00B95CD6" w:rsidRPr="000D255D">
        <w:rPr>
          <w:color w:val="000000"/>
        </w:rPr>
        <w:t xml:space="preserve"> </w:t>
      </w:r>
      <w:r w:rsidR="00B95CD6">
        <w:rPr>
          <w:color w:val="000000"/>
        </w:rPr>
        <w:t>международным</w:t>
      </w:r>
      <w:r w:rsidR="00B95CD6" w:rsidRPr="000D255D">
        <w:rPr>
          <w:color w:val="000000"/>
        </w:rPr>
        <w:t xml:space="preserve"> </w:t>
      </w:r>
      <w:r w:rsidR="00B95CD6">
        <w:rPr>
          <w:color w:val="000000"/>
        </w:rPr>
        <w:t>стандартам</w:t>
      </w:r>
      <w:r w:rsidR="00B95CD6" w:rsidRPr="000D255D">
        <w:rPr>
          <w:color w:val="000000"/>
        </w:rPr>
        <w:t xml:space="preserve"> [1]).</w:t>
      </w:r>
    </w:p>
    <w:p w14:paraId="604FD78B" w14:textId="5BFC2602" w:rsidR="002322A3" w:rsidRDefault="002322A3" w:rsidP="00A63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Нагрев в замкнутых системах ТВЭКС-ТБФ, насыщенн</w:t>
      </w:r>
      <w:r w:rsidR="008F4D2C">
        <w:rPr>
          <w:color w:val="000000"/>
        </w:rPr>
        <w:t>ого</w:t>
      </w:r>
      <w:r>
        <w:rPr>
          <w:color w:val="000000"/>
        </w:rPr>
        <w:t xml:space="preserve"> 7 моль/л азотной кислотой, сопровождается тепловыделением порядка 1000 Дж/г.</w:t>
      </w:r>
      <w:r w:rsidR="00DD6B75">
        <w:rPr>
          <w:color w:val="000000"/>
        </w:rPr>
        <w:t xml:space="preserve"> Такое увеличение тепловыделения связано с накоплением газообразно</w:t>
      </w:r>
      <w:r w:rsidR="00D30C93">
        <w:rPr>
          <w:color w:val="000000"/>
        </w:rPr>
        <w:t>го</w:t>
      </w:r>
      <w:r w:rsidR="00DD6B75">
        <w:rPr>
          <w:color w:val="000000"/>
        </w:rPr>
        <w:t xml:space="preserve"> окислителя в системе.</w:t>
      </w:r>
      <w:r w:rsidR="004F6CC8">
        <w:rPr>
          <w:color w:val="000000"/>
        </w:rPr>
        <w:t xml:space="preserve"> При это</w:t>
      </w:r>
      <w:r w:rsidR="0098726E">
        <w:rPr>
          <w:color w:val="000000"/>
        </w:rPr>
        <w:t>м,</w:t>
      </w:r>
      <w:r w:rsidR="004F6CC8">
        <w:rPr>
          <w:color w:val="000000"/>
        </w:rPr>
        <w:t xml:space="preserve"> добавление нитратов металлов в систему приводит к снижению температуры начала </w:t>
      </w:r>
      <w:r w:rsidR="006C7566">
        <w:rPr>
          <w:color w:val="000000"/>
        </w:rPr>
        <w:t>экзотермических процессов</w:t>
      </w:r>
      <w:r w:rsidR="004F6CC8">
        <w:rPr>
          <w:color w:val="000000"/>
        </w:rPr>
        <w:t xml:space="preserve"> и небольшому увеличения </w:t>
      </w:r>
      <w:r w:rsidR="006C7566">
        <w:rPr>
          <w:color w:val="000000"/>
        </w:rPr>
        <w:t>их</w:t>
      </w:r>
      <w:r w:rsidR="004F6CC8">
        <w:rPr>
          <w:color w:val="000000"/>
        </w:rPr>
        <w:t xml:space="preserve"> интенсивности.</w:t>
      </w:r>
    </w:p>
    <w:p w14:paraId="3D6C59DB" w14:textId="14FAD00E" w:rsidR="0098726E" w:rsidRPr="002322A3" w:rsidRDefault="00DA1184" w:rsidP="00A63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Методом ГХ-МС установлен перечень газообразных продуктов разложения исследуемых твердых экстрагентов. Общими для них являются продукты деструкции полистирол-дивинилбензольной матрицы – бензол, стирол, толуол, этилбензол и ряд других, выделяющиеся при температурах выше 350 ℃</w:t>
      </w:r>
      <w:r w:rsidR="003464C2">
        <w:rPr>
          <w:color w:val="000000"/>
        </w:rPr>
        <w:t>, а также отмечено выделение характерных продуктов разложения ТБФ</w:t>
      </w:r>
      <w:r w:rsidR="008F4D2C">
        <w:rPr>
          <w:color w:val="000000"/>
        </w:rPr>
        <w:t xml:space="preserve"> </w:t>
      </w:r>
      <w:r w:rsidR="003464C2">
        <w:rPr>
          <w:color w:val="000000"/>
        </w:rPr>
        <w:t>и ДБ21К7.</w:t>
      </w:r>
    </w:p>
    <w:p w14:paraId="6B4A6D4D" w14:textId="77777777" w:rsidR="00625350" w:rsidRPr="000D255D" w:rsidRDefault="00625350" w:rsidP="00625350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E1AD95" w14:textId="343D3118" w:rsidR="00B95CD6" w:rsidRPr="00625350" w:rsidRDefault="00625350" w:rsidP="00D026A5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625350">
        <w:rPr>
          <w:color w:val="000000"/>
          <w:lang w:val="en-US"/>
        </w:rPr>
        <w:t>United Nations Economic Commission for Europe, 2019. Recommendations on the</w:t>
      </w:r>
      <w:r w:rsidR="00CE4E9B" w:rsidRPr="00CE4E9B">
        <w:rPr>
          <w:color w:val="000000"/>
          <w:lang w:val="en-US"/>
        </w:rPr>
        <w:t xml:space="preserve"> </w:t>
      </w:r>
      <w:r w:rsidRPr="00625350">
        <w:rPr>
          <w:color w:val="000000"/>
          <w:lang w:val="en-US"/>
        </w:rPr>
        <w:t>Transport of Dangerous Goods. Model Regulations, Vol. I, 21st revised edition, New</w:t>
      </w:r>
      <w:r w:rsidR="00CE4E9B" w:rsidRPr="000D255D">
        <w:rPr>
          <w:color w:val="000000"/>
          <w:lang w:val="en-US"/>
        </w:rPr>
        <w:t xml:space="preserve"> </w:t>
      </w:r>
      <w:r w:rsidRPr="00625350">
        <w:rPr>
          <w:color w:val="000000"/>
          <w:lang w:val="en-US"/>
        </w:rPr>
        <w:t>York and Geneva.</w:t>
      </w:r>
    </w:p>
    <w:sectPr w:rsidR="00B95CD6" w:rsidRPr="006253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7535" w14:textId="77777777" w:rsidR="000A7860" w:rsidRDefault="000A7860" w:rsidP="00A63A77">
      <w:r>
        <w:separator/>
      </w:r>
    </w:p>
  </w:endnote>
  <w:endnote w:type="continuationSeparator" w:id="0">
    <w:p w14:paraId="00FB32E2" w14:textId="77777777" w:rsidR="000A7860" w:rsidRDefault="000A7860" w:rsidP="00A6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F92B" w14:textId="77777777" w:rsidR="000A7860" w:rsidRDefault="000A7860" w:rsidP="00A63A77">
      <w:r>
        <w:separator/>
      </w:r>
    </w:p>
  </w:footnote>
  <w:footnote w:type="continuationSeparator" w:id="0">
    <w:p w14:paraId="5A7CBBE2" w14:textId="77777777" w:rsidR="000A7860" w:rsidRDefault="000A7860" w:rsidP="00A6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46046">
    <w:abstractNumId w:val="2"/>
  </w:num>
  <w:num w:numId="2" w16cid:durableId="2050494106">
    <w:abstractNumId w:val="3"/>
  </w:num>
  <w:num w:numId="3" w16cid:durableId="382482303">
    <w:abstractNumId w:val="1"/>
  </w:num>
  <w:num w:numId="4" w16cid:durableId="153966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D53"/>
    <w:rsid w:val="00063966"/>
    <w:rsid w:val="00075D6E"/>
    <w:rsid w:val="00086081"/>
    <w:rsid w:val="0009449A"/>
    <w:rsid w:val="00094FD0"/>
    <w:rsid w:val="000A7860"/>
    <w:rsid w:val="000D255D"/>
    <w:rsid w:val="000E334E"/>
    <w:rsid w:val="000F505F"/>
    <w:rsid w:val="00101A1C"/>
    <w:rsid w:val="00103657"/>
    <w:rsid w:val="00106375"/>
    <w:rsid w:val="00107AA3"/>
    <w:rsid w:val="00116478"/>
    <w:rsid w:val="00130241"/>
    <w:rsid w:val="0015636C"/>
    <w:rsid w:val="001641AC"/>
    <w:rsid w:val="00167F35"/>
    <w:rsid w:val="001C4DE8"/>
    <w:rsid w:val="001E61C2"/>
    <w:rsid w:val="001F0493"/>
    <w:rsid w:val="001F2CD6"/>
    <w:rsid w:val="001F7328"/>
    <w:rsid w:val="00205C5E"/>
    <w:rsid w:val="0022260A"/>
    <w:rsid w:val="002264EE"/>
    <w:rsid w:val="002322A3"/>
    <w:rsid w:val="0023307C"/>
    <w:rsid w:val="002414C1"/>
    <w:rsid w:val="0028328F"/>
    <w:rsid w:val="002970D3"/>
    <w:rsid w:val="0031361E"/>
    <w:rsid w:val="003464C2"/>
    <w:rsid w:val="00363648"/>
    <w:rsid w:val="00391C38"/>
    <w:rsid w:val="003B0245"/>
    <w:rsid w:val="003B76D6"/>
    <w:rsid w:val="003E2601"/>
    <w:rsid w:val="003F4E6B"/>
    <w:rsid w:val="00442199"/>
    <w:rsid w:val="0047614C"/>
    <w:rsid w:val="00477383"/>
    <w:rsid w:val="0049608E"/>
    <w:rsid w:val="004A26A3"/>
    <w:rsid w:val="004A644C"/>
    <w:rsid w:val="004B0E99"/>
    <w:rsid w:val="004F0EDF"/>
    <w:rsid w:val="004F6CC8"/>
    <w:rsid w:val="00522BF1"/>
    <w:rsid w:val="0053568E"/>
    <w:rsid w:val="00554D10"/>
    <w:rsid w:val="00590166"/>
    <w:rsid w:val="005B6B9D"/>
    <w:rsid w:val="005D022B"/>
    <w:rsid w:val="005E5BE9"/>
    <w:rsid w:val="00625350"/>
    <w:rsid w:val="006329B9"/>
    <w:rsid w:val="00651DD5"/>
    <w:rsid w:val="0069427D"/>
    <w:rsid w:val="006A0755"/>
    <w:rsid w:val="006C7566"/>
    <w:rsid w:val="006F7A19"/>
    <w:rsid w:val="007213E1"/>
    <w:rsid w:val="00737473"/>
    <w:rsid w:val="00775389"/>
    <w:rsid w:val="00791B6F"/>
    <w:rsid w:val="00797838"/>
    <w:rsid w:val="007C36D8"/>
    <w:rsid w:val="007C75BF"/>
    <w:rsid w:val="007C75F3"/>
    <w:rsid w:val="007E61F3"/>
    <w:rsid w:val="007F2744"/>
    <w:rsid w:val="007F2D30"/>
    <w:rsid w:val="00885210"/>
    <w:rsid w:val="008931BE"/>
    <w:rsid w:val="008C67E3"/>
    <w:rsid w:val="008F4D2C"/>
    <w:rsid w:val="009116E5"/>
    <w:rsid w:val="00914205"/>
    <w:rsid w:val="00921D45"/>
    <w:rsid w:val="00930818"/>
    <w:rsid w:val="009426C0"/>
    <w:rsid w:val="00980A65"/>
    <w:rsid w:val="0098726E"/>
    <w:rsid w:val="00987CD2"/>
    <w:rsid w:val="009A66DB"/>
    <w:rsid w:val="009B2F80"/>
    <w:rsid w:val="009B3300"/>
    <w:rsid w:val="009E5B8A"/>
    <w:rsid w:val="009F3380"/>
    <w:rsid w:val="00A02163"/>
    <w:rsid w:val="00A314FE"/>
    <w:rsid w:val="00A63A77"/>
    <w:rsid w:val="00AC2292"/>
    <w:rsid w:val="00AD7380"/>
    <w:rsid w:val="00B50429"/>
    <w:rsid w:val="00B95CD6"/>
    <w:rsid w:val="00BF36F8"/>
    <w:rsid w:val="00BF4622"/>
    <w:rsid w:val="00C0660A"/>
    <w:rsid w:val="00C16660"/>
    <w:rsid w:val="00C8313A"/>
    <w:rsid w:val="00C844E2"/>
    <w:rsid w:val="00C931EF"/>
    <w:rsid w:val="00CD00B1"/>
    <w:rsid w:val="00CE4E9B"/>
    <w:rsid w:val="00CE5608"/>
    <w:rsid w:val="00D026A5"/>
    <w:rsid w:val="00D22306"/>
    <w:rsid w:val="00D30C93"/>
    <w:rsid w:val="00D42542"/>
    <w:rsid w:val="00D479EF"/>
    <w:rsid w:val="00D811DF"/>
    <w:rsid w:val="00D8121C"/>
    <w:rsid w:val="00D86E8F"/>
    <w:rsid w:val="00DA1184"/>
    <w:rsid w:val="00DD6237"/>
    <w:rsid w:val="00DD6B75"/>
    <w:rsid w:val="00E17D9C"/>
    <w:rsid w:val="00E21F59"/>
    <w:rsid w:val="00E22189"/>
    <w:rsid w:val="00E46506"/>
    <w:rsid w:val="00E74069"/>
    <w:rsid w:val="00E81D35"/>
    <w:rsid w:val="00EB1F49"/>
    <w:rsid w:val="00EC3749"/>
    <w:rsid w:val="00F01B52"/>
    <w:rsid w:val="00F23482"/>
    <w:rsid w:val="00F24A83"/>
    <w:rsid w:val="00F865B3"/>
    <w:rsid w:val="00FB1509"/>
    <w:rsid w:val="00FC189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63A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63A7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A63A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63A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DD6303-DFDC-4EB8-B3A3-4FD0C98B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Кирилл Шеламов</cp:lastModifiedBy>
  <cp:revision>63</cp:revision>
  <cp:lastPrinted>2025-02-28T07:07:00Z</cp:lastPrinted>
  <dcterms:created xsi:type="dcterms:W3CDTF">2024-12-16T00:35:00Z</dcterms:created>
  <dcterms:modified xsi:type="dcterms:W3CDTF">2025-03-15T16:25:00Z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