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xmlns:aink="http://schemas.microsoft.com/office/drawing/2016/ink" xmlns:dgm="http://schemas.openxmlformats.org/drawingml/2006/diagram">
  <w:body>
    <w:p w14:paraId="00000005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hd w:val="clear" w:color="auto" w:fill="ffffff"/>
        <w:spacing w:after="0" w:line="240" w:lineRule="auto"/>
        <w:jc w:val="center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Синтез ацетиленсодержащих производных биодоступных фурфуролов</w:t>
      </w:r>
    </w:p>
    <w:p w14:paraId="00000006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hd w:val="clear" w:color="auto" w:fill="ffffff"/>
        <w:spacing w:after="0" w:line="240" w:lineRule="auto"/>
        <w:jc w:val="center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i/>
          <w:color w:val="000000"/>
          <w:sz w:val="24"/>
          <w:szCs w:val="24"/>
        </w:rPr>
        <w:t>Хоружик С.А.</w:t>
      </w:r>
      <w:r>
        <w:rPr>
          <w:rFonts w:ascii="Times New Roman" w:cs="Times New Roman" w:eastAsia="Times New Roman" w:hAnsi="Times New Roman"/>
          <w:b/>
          <w:i/>
          <w:color w:val="000000"/>
          <w:sz w:val="24"/>
          <w:szCs w:val="24"/>
          <w:vertAlign w:val="superscript"/>
        </w:rPr>
        <w:t>1,2</w:t>
      </w:r>
      <w:r>
        <w:rPr>
          <w:rFonts w:ascii="Times New Roman" w:cs="Times New Roman" w:eastAsia="Times New Roman" w:hAnsi="Times New Roman"/>
          <w:b/>
          <w:i/>
          <w:color w:val="000000"/>
          <w:sz w:val="24"/>
          <w:szCs w:val="24"/>
        </w:rPr>
        <w:t>, Козлов К.С.</w:t>
      </w:r>
      <w:r>
        <w:rPr>
          <w:rFonts w:ascii="Times New Roman" w:cs="Times New Roman" w:eastAsia="Times New Roman" w:hAnsi="Times New Roman"/>
          <w:b/>
          <w:i/>
          <w:color w:val="000000"/>
          <w:sz w:val="24"/>
          <w:szCs w:val="24"/>
          <w:vertAlign w:val="superscript"/>
        </w:rPr>
        <w:t>2</w:t>
      </w:r>
      <w:r>
        <w:rPr>
          <w:rFonts w:ascii="Times New Roman" w:cs="Times New Roman" w:eastAsia="Times New Roman" w:hAnsi="Times New Roman"/>
          <w:b/>
          <w:i/>
          <w:color w:val="000000"/>
          <w:sz w:val="24"/>
          <w:szCs w:val="24"/>
        </w:rPr>
        <w:t>, Ромашов Л.В.</w:t>
      </w:r>
      <w:r>
        <w:rPr>
          <w:rFonts w:ascii="Times New Roman" w:cs="Times New Roman" w:eastAsia="Times New Roman" w:hAnsi="Times New Roman"/>
          <w:b/>
          <w:i/>
          <w:color w:val="000000"/>
          <w:sz w:val="24"/>
          <w:szCs w:val="24"/>
          <w:vertAlign w:val="superscript"/>
        </w:rPr>
        <w:t>2</w:t>
      </w:r>
      <w:r>
        <w:rPr>
          <w:rFonts w:ascii="Times New Roman" w:cs="Times New Roman" w:eastAsia="Times New Roman" w:hAnsi="Times New Roman"/>
          <w:b/>
          <w:i/>
          <w:color w:val="000000"/>
          <w:sz w:val="24"/>
          <w:szCs w:val="24"/>
        </w:rPr>
        <w:t>, Анаников В.П.</w:t>
      </w:r>
      <w:r>
        <w:rPr>
          <w:rFonts w:ascii="Times New Roman" w:cs="Times New Roman" w:eastAsia="Times New Roman" w:hAnsi="Times New Roman"/>
          <w:b/>
          <w:i/>
          <w:color w:val="000000"/>
          <w:sz w:val="24"/>
          <w:szCs w:val="24"/>
          <w:vertAlign w:val="superscript"/>
        </w:rPr>
        <w:t>2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14:paraId="00000007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hd w:val="clear" w:color="auto" w:fill="ffffff"/>
        <w:spacing w:after="0" w:line="240" w:lineRule="auto"/>
        <w:ind w:firstLine="720"/>
        <w:jc w:val="center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 xml:space="preserve">Студент, 2 курс специалитета </w:t>
      </w:r>
    </w:p>
    <w:p w14:paraId="00000008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hd w:val="clear" w:color="auto" w:fill="ffffff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vertAlign w:val="superscript"/>
        </w:rPr>
        <w:t>1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 xml:space="preserve">Московский государственный университет имени М.В. Ломоносова,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химический факультет, Москва, Россия</w:t>
      </w:r>
    </w:p>
    <w:p w14:paraId="00000009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hd w:val="clear" w:color="auto" w:fill="ffffff"/>
        <w:spacing w:after="0" w:line="240" w:lineRule="auto"/>
        <w:jc w:val="center"/>
        <w:rPr>
          <w:rFonts w:ascii="Times New Roman" w:cs="Times New Roman" w:eastAsia="Calibri" w:hAnsi="Times New Roman"/>
          <w:i/>
          <w:sz w:val="24"/>
          <w:szCs w:val="24"/>
        </w:rPr>
      </w:pPr>
      <w:r>
        <w:rPr>
          <w:rFonts w:ascii="Times New Roman" w:cs="Times New Roman" w:eastAsia="Calibri" w:hAnsi="Times New Roman"/>
          <w:i/>
          <w:sz w:val="24"/>
          <w:szCs w:val="24"/>
          <w:vertAlign w:val="superscript"/>
        </w:rPr>
        <w:t>2</w:t>
      </w:r>
      <w:r>
        <w:rPr>
          <w:rFonts w:ascii="Times New Roman" w:cs="Times New Roman" w:eastAsia="Calibri" w:hAnsi="Times New Roman"/>
          <w:i/>
          <w:sz w:val="24"/>
          <w:szCs w:val="24"/>
        </w:rPr>
        <w:t xml:space="preserve">Институт органической химии им. Н.Д. Зелинского </w:t>
      </w:r>
    </w:p>
    <w:p w14:paraId="0000000A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hd w:val="clear" w:color="auto" w:fill="ffffff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i/>
          <w:sz w:val="24"/>
          <w:szCs w:val="24"/>
        </w:rPr>
        <w:t>Российской академии наук, Москва, Россия</w:t>
      </w:r>
    </w:p>
    <w:p w14:paraId="0000000B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pacing w:after="0" w:line="240" w:lineRule="auto"/>
        <w:jc w:val="center"/>
        <w:rPr>
          <w:rFonts w:ascii="Times New Roman" w:cs="Times New Roman" w:hAnsi="Times New Roman"/>
          <w:color w:val="000000"/>
          <w:sz w:val="18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 xml:space="preserve">E-mail: </w:t>
      </w:r>
      <w:r>
        <w:rPr>
          <w:rFonts w:ascii="Times New Roman" w:cs="Times New Roman" w:hAnsi="Times New Roman"/>
          <w:i/>
          <w:iCs/>
          <w:color w:val="000000"/>
          <w:sz w:val="24"/>
          <w:szCs w:val="24"/>
          <w:u w:val="single"/>
          <w:lang w:val="en-US"/>
        </w:rPr>
        <w:t>stepan</w:t>
      </w:r>
      <w:r>
        <w:rPr>
          <w:rFonts w:ascii="Times New Roman" w:cs="Times New Roman" w:hAnsi="Times New Roman"/>
          <w:i/>
          <w:iCs/>
          <w:color w:val="000000"/>
          <w:sz w:val="24"/>
          <w:szCs w:val="24"/>
          <w:u w:val="single"/>
        </w:rPr>
        <w:t>.</w:t>
      </w:r>
      <w:r>
        <w:rPr>
          <w:rFonts w:ascii="Times New Roman" w:cs="Times New Roman" w:hAnsi="Times New Roman"/>
          <w:i/>
          <w:iCs/>
          <w:color w:val="000000"/>
          <w:sz w:val="24"/>
          <w:szCs w:val="24"/>
          <w:u w:val="single"/>
          <w:lang w:val="en-US"/>
        </w:rPr>
        <w:t>khoruzhik</w:t>
      </w:r>
      <w:r>
        <w:rPr>
          <w:rFonts w:ascii="Times New Roman" w:cs="Times New Roman" w:hAnsi="Times New Roman"/>
          <w:i/>
          <w:iCs/>
          <w:color w:val="000000"/>
          <w:sz w:val="24"/>
          <w:szCs w:val="24"/>
          <w:u w:val="single"/>
        </w:rPr>
        <w:t>@</w:t>
      </w:r>
      <w:r>
        <w:rPr>
          <w:rFonts w:ascii="Times New Roman" w:cs="Times New Roman" w:hAnsi="Times New Roman"/>
          <w:i/>
          <w:iCs/>
          <w:color w:val="000000"/>
          <w:sz w:val="24"/>
          <w:szCs w:val="24"/>
          <w:u w:val="single"/>
          <w:lang w:val="en-US"/>
        </w:rPr>
        <w:t>chemistry</w:t>
      </w:r>
      <w:r>
        <w:rPr>
          <w:rFonts w:ascii="Times New Roman" w:cs="Times New Roman" w:hAnsi="Times New Roman"/>
          <w:i/>
          <w:iCs/>
          <w:color w:val="000000"/>
          <w:sz w:val="24"/>
          <w:szCs w:val="24"/>
          <w:u w:val="single"/>
        </w:rPr>
        <w:t>.</w:t>
      </w:r>
      <w:r>
        <w:rPr>
          <w:rFonts w:ascii="Times New Roman" w:cs="Times New Roman" w:hAnsi="Times New Roman"/>
          <w:i/>
          <w:iCs/>
          <w:color w:val="000000"/>
          <w:sz w:val="24"/>
          <w:szCs w:val="24"/>
          <w:u w:val="single"/>
          <w:lang w:val="en-US"/>
        </w:rPr>
        <w:t>msu</w:t>
      </w:r>
      <w:r>
        <w:rPr>
          <w:rFonts w:ascii="Times New Roman" w:cs="Times New Roman" w:hAnsi="Times New Roman"/>
          <w:i/>
          <w:iCs/>
          <w:color w:val="000000"/>
          <w:sz w:val="24"/>
          <w:szCs w:val="24"/>
          <w:u w:val="single"/>
        </w:rPr>
        <w:t>.</w:t>
      </w:r>
      <w:r>
        <w:rPr>
          <w:rFonts w:ascii="Times New Roman" w:cs="Times New Roman" w:hAnsi="Times New Roman"/>
          <w:i/>
          <w:iCs/>
          <w:color w:val="000000"/>
          <w:sz w:val="24"/>
          <w:szCs w:val="24"/>
          <w:u w:val="single"/>
          <w:lang w:val="en-US"/>
        </w:rPr>
        <w:t>ru</w:t>
      </w:r>
      <w:r>
        <w:rPr>
          <w:rFonts w:ascii="Times New Roman" w:cs="Times New Roman" w:hAnsi="Times New Roman"/>
          <w:color w:val="000000"/>
          <w:sz w:val="18"/>
        </w:rPr>
        <w:t xml:space="preserve"> </w:t>
      </w:r>
      <w:bookmarkStart w:id="0" w:name="_GoBack"/>
      <w:bookmarkEnd w:id="0"/>
    </w:p>
    <w:p w14:paraId="0000000C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hd w:val="clear" w:color="auto" w:fill="ffffff"/>
        <w:tabs>
          <w:tab w:val="left" w:pos="397"/>
        </w:tabs>
        <w:spacing w:after="0" w:line="240" w:lineRule="auto"/>
        <w:ind w:firstLine="39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Конверсия растительной биомассы является одним из наиболее перспективных направлений зелёной химии. Путём переработки гексоз получают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5-(гидроксиметил)фурфурол (5-ГМФ), а при переработке пентоз – фурфурол. </w:t>
      </w:r>
    </w:p>
    <w:p w14:paraId="0000000D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hd w:val="clear" w:color="auto" w:fill="ffffff"/>
        <w:tabs>
          <w:tab w:val="left" w:pos="397"/>
        </w:tabs>
        <w:spacing w:after="0" w:line="240" w:lineRule="auto"/>
        <w:ind w:firstLine="39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Известно, что сопряжённые производные тиофена, содержащие пропаргиловый фрагмент в своей структуре, показывают высокую активность против многих видов фитопатогенных грибов [1]. Структурная родственность тиофена и фурана позволяет предположить, что подобные ацетиленсодержащие производные фуранов также будут обладать биологической активностью. </w:t>
      </w:r>
    </w:p>
    <w:p w14:paraId="0000000E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hd w:val="clear" w:color="auto" w:fill="ffffff"/>
        <w:tabs>
          <w:tab w:val="left" w:pos="397"/>
        </w:tabs>
        <w:spacing w:after="0" w:line="240" w:lineRule="auto"/>
        <w:ind w:firstLine="39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В рамках работы из 5-ГМФ и фурфурола получены производные, содержащие этинильный фрагмент. Свойства таких соединений практически не изучены. Некоторые вещества получены впервые. </w:t>
      </w:r>
    </w:p>
    <w:p w14:paraId="0000000F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hd w:val="clear" w:color="auto" w:fill="ffffff"/>
        <w:tabs>
          <w:tab w:val="left" w:pos="397"/>
        </w:tabs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drawing xmlns:mc="http://schemas.openxmlformats.org/markup-compatibility/2006">
          <wp:anchor allowOverlap="1" behindDoc="0" distT="0" distB="0" distL="118872" distR="118872" layoutInCell="1" locked="0" relativeHeight="251659265" simplePos="0">
            <wp:simplePos x="0" y="0"/>
            <wp:positionH relativeFrom="margin">
              <wp:posOffset>97155</wp:posOffset>
            </wp:positionH>
            <wp:positionV relativeFrom="margin">
              <wp:posOffset>3378200</wp:posOffset>
            </wp:positionV>
            <wp:extent cx="5613400" cy="2225040"/>
            <wp:effectExtent l="0" t="0" r="25400" b="25400"/>
            <wp:wrapTopAndBottom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Grp="0" noSelect="0" noChangeAspect="1" noMove="0"/>
                    </pic:cNvPicPr>
                  </pic:nvPicPr>
                  <pic:blipFill>
                    <a:blip r:embed="rId9"/>
                    <a:srcRect l="206" t="0" r="536" b="3812"/>
                    <a:stretch/>
                  </pic:blipFill>
                  <pic:spPr>
                    <a:xfrm>
                      <a:off x="0" y="0"/>
                      <a:ext cx="5613400" cy="2225040"/>
                    </a:xfrm>
                    <a:prstGeom prst="rect">
                      <a:avLst/>
                    </a:prstGeom>
                    <a:ln w="12700">
                      <a:solidFill>
                        <a:schemeClr val="dk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Схема 1. Синтез </w:t>
      </w:r>
      <w:r>
        <w:rPr>
          <w:rFonts w:ascii="Times New Roman" w:cs="Times New Roman" w:eastAsia="Times New Roman" w:hAnsi="Times New Roman"/>
          <w:bCs/>
          <w:color w:val="000000"/>
          <w:sz w:val="24"/>
          <w:szCs w:val="24"/>
        </w:rPr>
        <w:t>ацетиленсодержащих производных биодоступных фурфуролов.</w:t>
      </w:r>
    </w:p>
    <w:p w14:paraId="00000010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hd w:val="clear" w:color="auto" w:fill="ffffff"/>
        <w:tabs>
          <w:tab w:val="left" w:pos="397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В рамках работы были проведены синтезы соответствующих алкинов из производных фурфурола по реакции </w:t>
      </w: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</w:rPr>
        <w:t>Сейферта-Гилберта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в модификации </w:t>
      </w: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</w:rPr>
        <w:t xml:space="preserve">Охиры-Бестманна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[2] и пропаргиловых спиртов с использованием реактивов </w:t>
      </w: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</w:rPr>
        <w:t>Йоцича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, низкотемпературного присоединения триметилсилилацетилена с последующим снятием силильной защиты. Полученные терминальные алкины были введены в реакции сочетания </w:t>
      </w: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</w:rPr>
        <w:t>Глазера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с образованием соответствующих диинов.</w:t>
      </w:r>
    </w:p>
    <w:p w14:paraId="00000011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hd w:val="clear" w:color="auto" w:fill="ffffff"/>
        <w:tabs>
          <w:tab w:val="left" w:pos="397"/>
        </w:tabs>
        <w:spacing w:after="0" w:line="240" w:lineRule="auto"/>
        <w:jc w:val="both"/>
        <w:rPr>
          <w:rFonts w:ascii="Times New Roman" w:cs="Times New Roman" w:eastAsia="Calibri" w:hAnsi="Times New Roman"/>
          <w:sz w:val="24"/>
          <w:szCs w:val="24"/>
          <w:lang w:eastAsia="en-US"/>
        </w:rPr>
      </w:pPr>
      <w:r>
        <w:rPr>
          <w:rFonts w:ascii="Times New Roman" w:cs="Times New Roman" w:eastAsia="Calibri" w:hAnsi="Times New Roman"/>
          <w:sz w:val="24"/>
          <w:szCs w:val="24"/>
          <w:lang w:eastAsia="en-US"/>
        </w:rPr>
        <w:tab/>
      </w:r>
      <w:r>
        <w:rPr>
          <w:rFonts w:ascii="Times New Roman" w:cs="Times New Roman" w:eastAsia="Calibri" w:hAnsi="Times New Roman"/>
          <w:sz w:val="24"/>
          <w:szCs w:val="24"/>
          <w:lang w:eastAsia="en-US"/>
        </w:rPr>
        <w:t>Мы планируем продолжить изучение полученных соединений на предмет их биологической активности, в том числе противофунгицидной, и получить другие ацетиленсодержащие производные. Синтез подобных веществ открывает новые возможности для разработки инновационных и более доступных методов защиты сельскохозяйственных культур от болезней и вредителей.</w:t>
      </w:r>
    </w:p>
    <w:p w14:paraId="00000012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hd w:val="clear" w:color="auto" w:fill="ffffff"/>
        <w:tabs>
          <w:tab w:val="left" w:pos="397"/>
        </w:tabs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Литература</w:t>
      </w:r>
    </w:p>
    <w:p w14:paraId="00000013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tabs>
          <w:tab w:val="left" w:pos="397"/>
        </w:tabs>
        <w:spacing w:after="0" w:line="240" w:lineRule="auto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" w:cs="Times New Roman" w:hAnsi="Times New Roman"/>
          <w:color w:val="222222"/>
          <w:sz w:val="24"/>
          <w:szCs w:val="24"/>
          <w:highlight w:val="white"/>
          <w:lang w:val="en-US"/>
        </w:rPr>
        <w:t>Zhao</w:t>
      </w:r>
      <w:r>
        <w:rPr>
          <w:rFonts w:ascii="Times New Roman" w:cs="Times New Roman" w:hAnsi="Times New Roman"/>
          <w:color w:val="222222"/>
          <w:sz w:val="24"/>
          <w:szCs w:val="24"/>
          <w:highlight w:val="white"/>
        </w:rPr>
        <w:t xml:space="preserve"> </w:t>
      </w:r>
      <w:r>
        <w:rPr>
          <w:rFonts w:ascii="Times New Roman" w:cs="Times New Roman" w:hAnsi="Times New Roman"/>
          <w:color w:val="222222"/>
          <w:sz w:val="24"/>
          <w:szCs w:val="24"/>
          <w:highlight w:val="white"/>
          <w:lang w:val="en-US"/>
        </w:rPr>
        <w:t>L</w:t>
      </w:r>
      <w:r>
        <w:rPr>
          <w:rFonts w:ascii="Times New Roman" w:cs="Times New Roman" w:hAnsi="Times New Roman"/>
          <w:color w:val="222222"/>
          <w:sz w:val="24"/>
          <w:szCs w:val="24"/>
          <w:highlight w:val="white"/>
        </w:rPr>
        <w:t xml:space="preserve">. </w:t>
      </w:r>
      <w:r>
        <w:rPr>
          <w:rFonts w:ascii="Times New Roman" w:cs="Times New Roman" w:hAnsi="Times New Roman"/>
          <w:color w:val="222222"/>
          <w:sz w:val="24"/>
          <w:szCs w:val="24"/>
          <w:highlight w:val="white"/>
          <w:lang w:val="en-US"/>
        </w:rPr>
        <w:t>et</w:t>
      </w:r>
      <w:r>
        <w:rPr>
          <w:rFonts w:ascii="Times New Roman" w:cs="Times New Roman" w:hAnsi="Times New Roman"/>
          <w:color w:val="222222"/>
          <w:sz w:val="24"/>
          <w:szCs w:val="24"/>
          <w:highlight w:val="white"/>
        </w:rPr>
        <w:t xml:space="preserve"> </w:t>
      </w:r>
      <w:r>
        <w:rPr>
          <w:rFonts w:ascii="Times New Roman" w:cs="Times New Roman" w:hAnsi="Times New Roman"/>
          <w:color w:val="222222"/>
          <w:sz w:val="24"/>
          <w:szCs w:val="24"/>
          <w:highlight w:val="white"/>
          <w:lang w:val="en-US"/>
        </w:rPr>
        <w:t>al</w:t>
      </w:r>
      <w:r>
        <w:rPr>
          <w:rFonts w:ascii="Times New Roman" w:cs="Times New Roman" w:hAnsi="Times New Roman"/>
          <w:color w:val="222222"/>
          <w:sz w:val="24"/>
          <w:szCs w:val="24"/>
          <w:highlight w:val="white"/>
        </w:rPr>
        <w:t xml:space="preserve">. </w:t>
      </w:r>
      <w:r>
        <w:rPr>
          <w:rFonts w:ascii="Times New Roman" w:cs="Times New Roman" w:hAnsi="Times New Roman"/>
          <w:color w:val="222222"/>
          <w:sz w:val="24"/>
          <w:szCs w:val="24"/>
          <w:highlight w:val="white"/>
          <w:lang w:val="en-US"/>
        </w:rPr>
        <w:t xml:space="preserve">Design, Synthesis, and Antifungal Activity of Polyacetylenic Alcohol Derivatives and Stereoisomers against Phytopathogenic Fungi // </w:t>
      </w:r>
      <w:r>
        <w:rPr>
          <w:rFonts w:ascii="Times New Roman" w:cs="Times New Roman" w:hAnsi="Times New Roman"/>
          <w:i/>
          <w:iCs/>
          <w:color w:val="222222"/>
          <w:sz w:val="24"/>
          <w:szCs w:val="24"/>
          <w:highlight w:val="white"/>
          <w:lang w:val="en-US"/>
        </w:rPr>
        <w:t>Journal of Agricultural and Food Chemistry</w:t>
      </w:r>
      <w:r>
        <w:rPr>
          <w:rFonts w:ascii="Times New Roman" w:cs="Times New Roman" w:hAnsi="Times New Roman"/>
          <w:color w:val="222222"/>
          <w:sz w:val="24"/>
          <w:szCs w:val="24"/>
          <w:highlight w:val="white"/>
          <w:lang w:val="en-US"/>
        </w:rPr>
        <w:t xml:space="preserve">. – </w:t>
      </w:r>
      <w:r>
        <w:rPr>
          <w:rFonts w:ascii="Times New Roman" w:cs="Times New Roman" w:hAnsi="Times New Roman"/>
          <w:b/>
          <w:bCs/>
          <w:color w:val="222222"/>
          <w:sz w:val="24"/>
          <w:szCs w:val="24"/>
          <w:highlight w:val="white"/>
          <w:lang w:val="en-US"/>
        </w:rPr>
        <w:t>2023</w:t>
      </w:r>
      <w:r>
        <w:rPr>
          <w:rFonts w:ascii="Times New Roman" w:cs="Times New Roman" w:hAnsi="Times New Roman"/>
          <w:color w:val="222222"/>
          <w:sz w:val="24"/>
          <w:szCs w:val="24"/>
          <w:highlight w:val="white"/>
          <w:lang w:val="en-US"/>
        </w:rPr>
        <w:t xml:space="preserve">. – Т. 71. – №. </w:t>
      </w:r>
      <w:r>
        <w:rPr>
          <w:rFonts w:ascii="Times New Roman" w:cs="Times New Roman" w:hAnsi="Times New Roman"/>
          <w:color w:val="222222"/>
          <w:sz w:val="24"/>
          <w:szCs w:val="24"/>
          <w:highlight w:val="white"/>
        </w:rPr>
        <w:t>25. – С. 9753-9761.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</w:p>
    <w:p w14:paraId="00000014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tabs>
          <w:tab w:val="left" w:pos="397"/>
        </w:tabs>
        <w:spacing w:after="0" w:line="240" w:lineRule="auto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2. </w:t>
      </w:r>
      <w:r>
        <w:rPr>
          <w:rFonts w:ascii="Times New Roman" w:cs="Times New Roman" w:hAnsi="Times New Roman"/>
          <w:color w:val="1a1a1a"/>
          <w:sz w:val="24"/>
          <w:szCs w:val="24"/>
        </w:rPr>
        <w:t xml:space="preserve">Ромашов Л.В., Исследование свойств 5-(гидроксиметил)фурфурола и его применение в синтезе биологически-активных соединений и их аналогов // канд. диссертация, </w:t>
      </w:r>
      <w:r>
        <w:rPr>
          <w:rFonts w:ascii="Times New Roman" w:cs="Times New Roman" w:hAnsi="Times New Roman"/>
          <w:b/>
          <w:bCs/>
          <w:color w:val="1a1a1a"/>
          <w:sz w:val="24"/>
          <w:szCs w:val="24"/>
        </w:rPr>
        <w:t>2017</w:t>
      </w:r>
      <w:r>
        <w:rPr>
          <w:rFonts w:ascii="Times New Roman" w:cs="Times New Roman" w:hAnsi="Times New Roman"/>
          <w:color w:val="1a1a1a"/>
          <w:sz w:val="24"/>
          <w:szCs w:val="24"/>
        </w:rPr>
        <w:t>.</w:t>
      </w:r>
    </w:p>
    <w:p w14:paraId="00000015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tabs>
          <w:tab w:val="left" w:pos="397"/>
        </w:tabs>
        <w:spacing w:after="0" w:line="240" w:lineRule="auto"/>
        <w:jc w:val="both"/>
        <w:rPr>
          <w:rFonts w:ascii="Times New Roman" w:cs="Times New Roman" w:hAnsi="Times New Roman"/>
        </w:rPr>
      </w:pPr>
    </w:p>
    <w:p w14:paraId="00000016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tabs>
          <w:tab w:val="left" w:pos="397"/>
        </w:tabs>
        <w:spacing w:after="0" w:line="240" w:lineRule="auto"/>
        <w:jc w:val="both"/>
        <w:rPr>
          <w:rFonts w:ascii="Times New Roman" w:cs="Times New Roman" w:hAnsi="Times New Roman"/>
        </w:rPr>
      </w:pPr>
    </w:p>
    <w:sectPr>
      <w:pgSz w:w="11906" w:h="16838"/>
      <w:pgMar w:top="1134" w:right="1361" w:bottom="1134" w:left="1361" w:header="708" w:footer="708" w:gutter="0"/>
      <w:paperSrc w:first="1" w:other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xmlns:aink="http://schemas.microsoft.com/office/drawing/2016/ink" xmlns:dgm="http://schemas.openxmlformats.org/drawingml/2006/diagram">
  <w:endnote w:type="separator" w:id="0">
    <w:p w14:paraId="00000003">
      <w:pPr>
        <w:spacing w:line="240" w:lineRule="auto"/>
        <w:rPr/>
      </w:pPr>
      <w:r>
        <w:rPr/>
        <w:separator/>
      </w:r>
    </w:p>
  </w:endnote>
  <w:endnote w:type="continuationSeparator" w:id="1">
    <w:p w14:paraId="00000004">
      <w:pPr>
        <w:spacing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default"/>
    <w:sig w:usb0="00000000" w:usb1="00000000" w:usb2="00000009" w:usb3="00000000" w:csb0="4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00000000" w:usb1="00000000" w:usb2="00000009" w:usb3="00000000" w:csb0="400001ff" w:csb1="00000000"/>
  </w:font>
  <w:font w:name="Courier New">
    <w:panose1 w:val="02070309020205020404"/>
    <w:charset w:val="00"/>
    <w:family w:val="modern"/>
    <w:pitch w:val="default"/>
    <w:sig w:usb0="00000000" w:usb1="00000000" w:usb2="00000009" w:usb3="00000000" w:csb0="400001ff" w:csb1="00000000"/>
  </w:font>
  <w:font w:name="黑体">
    <w:altName w:val="SimSun"/>
    <w:panose1 w:val="02010609060101010101"/>
    <w:charset w:val="86"/>
    <w:family w:val="modern"/>
    <w:pitch w:val="default"/>
    <w:sig w:usb0="00000000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00000000" w:usb1="00000000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00000000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xmlns:aink="http://schemas.microsoft.com/office/drawing/2016/ink" xmlns:dgm="http://schemas.openxmlformats.org/drawingml/2006/diagram">
  <w:footnote w:type="separator" w:id="0">
    <w:p w14:paraId="00000001">
      <w:pPr>
        <w:spacing w:before="0" w:after="0" w:line="276" w:lineRule="auto"/>
        <w:rPr/>
      </w:pPr>
      <w:r>
        <w:rPr/>
        <w:separator/>
      </w:r>
    </w:p>
  </w:footnote>
  <w:footnote w:type="continuationSeparator" w:id="1">
    <w:p w14:paraId="00000002">
      <w:pPr>
        <w:spacing w:before="0" w:after="0" w:line="276" w:lineRule="auto"/>
        <w:rPr/>
      </w:pPr>
      <w:r>
        <w:rPr/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defaultTabStop w:val="720"/>
  <w:characterSpacingControl w:val="doNotCompress"/>
  <w:compat>
    <w:compatSetting w:name="compatibilityMode" w:uri="http://schemas.microsoft.com/office/word" w:val="14"/>
  </w:compat>
  <w:rsids>
    <w:rsidRoot w:val="00E972A4"/>
    <w:rsid w:val="002F677F"/>
    <w:rsid w:val="005C6EDB"/>
    <w:rsid w:val="00613E57"/>
    <w:rsid w:val="00E972A4"/>
    <w:rsid w:val="1E8D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footnotePr>
    <w:footnote w:id="0"/>
    <w:footnote w:id="1"/>
  </w:footnotePr>
  <w:endnotePr>
    <w:endnote w:id="0"/>
    <w:endnote w:id="1"/>
  </w:endnotePr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</w:rPr>
    </w:rPrDefault>
    <w:pPrDefault/>
  </w:docDefaults>
  <w:style w:type="numbering" w:styleId="NoList">
    <w:name w:val="No List"/>
    <w:uiPriority w:val="99"/>
    <w:semiHidden w:val="on"/>
    <w:unhideWhenUsed w:val="on"/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472c4" w:themeColor="accent1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character" w:customStyle="1" w:styleId="EndnoteTextChar">
    <w:name w:val="Endnote Text Char"/>
    <w:uiPriority w:val="99"/>
    <w:semiHidden w:val="on"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default="1" w:styleId="Normal">
    <w:name w:val="Normal"/>
    <w:uiPriority w:val="0"/>
    <w:qFormat w:val="on"/>
    <w:pPr>
      <w:spacing w:after="200" w:line="276" w:lineRule="auto"/>
    </w:pPr>
    <w:rPr>
      <w:rFonts w:asciiTheme="minorHAnsi" w:cstheme="minorBidi" w:eastAsiaTheme="minorEastAsia" w:hAnsiTheme="minorHAnsi"/>
      <w:sz w:val="22"/>
      <w:szCs w:val="22"/>
      <w:lang w:val="ru-RU" w:bidi="ar-SA" w:eastAsia="ru-RU"/>
    </w:rPr>
  </w:style>
  <w:style w:type="paragraph" w:styleId="Heading1">
    <w:name w:val="Heading 1"/>
    <w:basedOn w:val="Normal"/>
    <w:next w:val="Normal"/>
    <w:link w:val="Заголовок1Знак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Заголовок2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Заголовок3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Заголовок4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Заголовок5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03864" w:themeColor="accent1" w:themeShade="80"/>
    </w:rPr>
  </w:style>
  <w:style w:type="paragraph" w:styleId="Heading6">
    <w:name w:val="Heading 6"/>
    <w:basedOn w:val="Normal"/>
    <w:next w:val="Normal"/>
    <w:link w:val="Заголовок6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03864" w:themeColor="accent1" w:themeShade="80"/>
    </w:rPr>
  </w:style>
  <w:style w:type="paragraph" w:styleId="Heading7">
    <w:name w:val="Heading 7"/>
    <w:basedOn w:val="Normal"/>
    <w:next w:val="Normal"/>
    <w:link w:val="Заголовок7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Заголовок8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Заголовок9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  <w:qFormat w:val="on"/>
  </w:style>
  <w:style w:type="table" w:default="1" w:styleId="NormalTable">
    <w:name w:val="Normal Table"/>
    <w:uiPriority w:val="99"/>
    <w:semiHidden w:val="on"/>
    <w:unhideWhenUsed w:val="on"/>
    <w:qFormat w:val="on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qFormat w:val="on"/>
    <w:rPr>
      <w:vertAlign w:val="superscript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Hyperlink">
    <w:name w:val="Hyperlink"/>
    <w:basedOn w:val="DefaultParagraphFont"/>
    <w:uiPriority w:val="99"/>
    <w:unhideWhenUsed w:val="on"/>
    <w:qFormat w:val="on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PlainText">
    <w:name w:val="Plain Text"/>
    <w:basedOn w:val="Normal"/>
    <w:link w:val="ТекстЗнак"/>
    <w:uiPriority w:val="99"/>
    <w:semiHidden w:val="on"/>
    <w:unhideWhenUsed w:val="on"/>
    <w:qFormat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paragraph" w:styleId="Endnotetext">
    <w:name w:val="Endnote text"/>
    <w:basedOn w:val="Normal"/>
    <w:link w:val="ТекстконцевойсноскиЗнак"/>
    <w:uiPriority w:val="99"/>
    <w:semiHidden w:val="on"/>
    <w:unhideWhenUsed w:val="on"/>
    <w:qFormat w:val="on"/>
    <w:pPr>
      <w:spacing w:after="0" w:line="240" w:lineRule="auto"/>
    </w:pPr>
    <w:rPr>
      <w:sz w:val="20"/>
      <w:szCs w:val="20"/>
    </w:rPr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ТекстсноскиЗнак"/>
    <w:uiPriority w:val="99"/>
    <w:semiHidden w:val="on"/>
    <w:unhideWhenUsed w:val="on"/>
    <w:qFormat w:val="on"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ВерхнийколонтитулЗнак"/>
    <w:uiPriority w:val="99"/>
    <w:unhideWhenUsed w:val="on"/>
    <w:qFormat w:val="on"/>
    <w:pPr>
      <w:spacing w:after="0" w:line="240" w:lineRule="auto"/>
    </w:pPr>
  </w:style>
  <w:style w:type="paragraph" w:styleId="Title">
    <w:name w:val="Title"/>
    <w:basedOn w:val="Normal"/>
    <w:next w:val="Normal"/>
    <w:link w:val="ЗаголовокЗнак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Footer">
    <w:name w:val="Footer"/>
    <w:basedOn w:val="Normal"/>
    <w:link w:val="НижнийколонтитулЗнак"/>
    <w:uiPriority w:val="99"/>
    <w:unhideWhenUsed w:val="on"/>
    <w:qFormat w:val="on"/>
    <w:pPr>
      <w:spacing w:after="0" w:line="240" w:lineRule="auto"/>
    </w:pPr>
  </w:style>
  <w:style w:type="paragraph" w:styleId="Subtitle">
    <w:name w:val="Subtitle"/>
    <w:basedOn w:val="Normal"/>
    <w:next w:val="Normal"/>
    <w:link w:val="ПодзаголовокЗнак"/>
    <w:uiPriority w:val="11"/>
    <w:qFormat w:val="on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paragraph" w:styleId="NoSpacing">
    <w:name w:val="No Spacing"/>
    <w:uiPriority w:val="1"/>
    <w:qFormat w:val="on"/>
    <w:pPr>
      <w:spacing w:after="0" w:line="240" w:lineRule="auto"/>
    </w:pPr>
    <w:rPr>
      <w:rFonts w:asciiTheme="minorHAnsi" w:cstheme="minorBidi" w:eastAsiaTheme="minorEastAsia" w:hAnsiTheme="minorHAnsi"/>
      <w:sz w:val="22"/>
      <w:szCs w:val="22"/>
      <w:lang w:val="ru-RU" w:bidi="ar-SA" w:eastAsia="ru-RU"/>
    </w:rPr>
  </w:style>
  <w:style w:type="character" w:customStyle="1" w:styleId="Заголовок1Знак">
    <w:name w:val="Заголовок 1 Знак"/>
    <w:basedOn w:val="DefaultParagraphFont"/>
    <w:link w:val="Heading1"/>
    <w:uiPriority w:val="9"/>
    <w:qFormat w:val="on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Заголовок2Знак">
    <w:name w:val="Заголовок 2 Знак"/>
    <w:basedOn w:val="DefaultParagraphFont"/>
    <w:link w:val="Heading2"/>
    <w:uiPriority w:val="9"/>
    <w:qFormat w:val="on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Заголовок3Знак">
    <w:name w:val="Заголовок 3 Знак"/>
    <w:basedOn w:val="DefaultParagraphFont"/>
    <w:link w:val="Heading3"/>
    <w:uiPriority w:val="9"/>
    <w:qFormat w:val="on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Заголовок4Знак">
    <w:name w:val="Заголовок 4 Знак"/>
    <w:basedOn w:val="DefaultParagraphFont"/>
    <w:link w:val="Heading4"/>
    <w:uiPriority w:val="9"/>
    <w:qFormat w:val="on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Заголовок5Знак">
    <w:name w:val="Заголовок 5 Знак"/>
    <w:basedOn w:val="DefaultParagraphFont"/>
    <w:link w:val="Heading5"/>
    <w:uiPriority w:val="9"/>
    <w:qFormat w:val="on"/>
    <w:rPr>
      <w:rFonts w:asciiTheme="majorHAnsi" w:cstheme="majorBidi" w:eastAsiaTheme="majorEastAsia" w:hAnsiTheme="majorHAnsi"/>
      <w:color w:val="203864" w:themeColor="accent1" w:themeShade="80"/>
    </w:rPr>
  </w:style>
  <w:style w:type="character" w:customStyle="1" w:styleId="Заголовок6Знак">
    <w:name w:val="Заголовок 6 Знак"/>
    <w:basedOn w:val="DefaultParagraphFont"/>
    <w:link w:val="Heading6"/>
    <w:uiPriority w:val="9"/>
    <w:qFormat w:val="on"/>
    <w:rPr>
      <w:rFonts w:asciiTheme="majorHAnsi" w:cstheme="majorBidi" w:eastAsiaTheme="majorEastAsia" w:hAnsiTheme="majorHAnsi"/>
      <w:i/>
      <w:iCs/>
      <w:color w:val="203864" w:themeColor="accent1" w:themeShade="80"/>
    </w:rPr>
  </w:style>
  <w:style w:type="character" w:customStyle="1" w:styleId="Заголовок7Знак">
    <w:name w:val="Заголовок 7 Знак"/>
    <w:basedOn w:val="DefaultParagraphFont"/>
    <w:link w:val="Heading7"/>
    <w:uiPriority w:val="9"/>
    <w:qFormat w:val="on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Заголовок8Знак">
    <w:name w:val="Заголовок 8 Знак"/>
    <w:basedOn w:val="DefaultParagraphFont"/>
    <w:link w:val="Heading8"/>
    <w:uiPriority w:val="9"/>
    <w:qFormat w:val="on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Заголовок9Знак">
    <w:name w:val="Заголовок 9 Знак"/>
    <w:basedOn w:val="DefaultParagraphFont"/>
    <w:link w:val="Heading9"/>
    <w:uiPriority w:val="9"/>
    <w:qFormat w:val="on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ЗаголовокЗнак">
    <w:name w:val="Заголовок Знак"/>
    <w:basedOn w:val="DefaultParagraphFont"/>
    <w:link w:val="Title"/>
    <w:uiPriority w:val="10"/>
    <w:qFormat w:val="on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ПодзаголовокЗнак">
    <w:name w:val="Подзаголовок Знак"/>
    <w:basedOn w:val="DefaultParagraphFont"/>
    <w:link w:val="Subtitle"/>
    <w:uiPriority w:val="11"/>
    <w:qFormat w:val="on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leEmphasis">
    <w:name w:val="Subtle Emphasis"/>
    <w:basedOn w:val="DefaultParagraphFont"/>
    <w:uiPriority w:val="19"/>
    <w:qFormat w:val="on"/>
    <w:rPr>
      <w:i/>
      <w:iCs/>
      <w:color w:val="7f7f7f" w:themeColor="text1" w:themeTint="80"/>
    </w:rPr>
  </w:style>
  <w:style w:type="character" w:customStyle="1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paragraph" w:styleId="Quote">
    <w:name w:val="Quote"/>
    <w:basedOn w:val="Normal"/>
    <w:next w:val="Normal"/>
    <w:link w:val="Цитата2Знак"/>
    <w:uiPriority w:val="29"/>
    <w:qFormat w:val="on"/>
    <w:rPr>
      <w:i/>
      <w:iCs/>
      <w:color w:val="000000" w:themeColor="text1"/>
    </w:rPr>
  </w:style>
  <w:style w:type="character" w:customStyle="1" w:styleId="Цитата2Знак">
    <w:name w:val="Цитата 2 Знак"/>
    <w:basedOn w:val="DefaultParagraphFont"/>
    <w:link w:val="Quote"/>
    <w:uiPriority w:val="29"/>
    <w:qFormat w:val="on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ВыделеннаяцитатаЗнак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ВыделеннаяцитатаЗнак">
    <w:name w:val="Выделенная цитата Знак"/>
    <w:basedOn w:val="DefaultParagraphFont"/>
    <w:link w:val="IntenseQuote"/>
    <w:uiPriority w:val="30"/>
    <w:qFormat w:val="on"/>
    <w:rPr>
      <w:b/>
      <w:bCs/>
      <w:i/>
      <w:iCs/>
      <w:color w:val="4472c4" w:themeColor="accent1"/>
    </w:rPr>
  </w:style>
  <w:style w:type="character" w:customStyle="1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customStyle="1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customStyle="1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ТекстсноскиЗнак">
    <w:name w:val="Текст сноски Знак"/>
    <w:basedOn w:val="DefaultParagraphFont"/>
    <w:link w:val="Footnotetext"/>
    <w:uiPriority w:val="99"/>
    <w:semiHidden w:val="on"/>
    <w:qFormat w:val="on"/>
    <w:rPr>
      <w:sz w:val="20"/>
      <w:szCs w:val="20"/>
    </w:rPr>
  </w:style>
  <w:style w:type="character" w:customStyle="1" w:styleId="ТекстконцевойсноскиЗнак">
    <w:name w:val="Текст концевой сноски Знак"/>
    <w:basedOn w:val="DefaultParagraphFont"/>
    <w:link w:val="Endnotetext"/>
    <w:uiPriority w:val="99"/>
    <w:semiHidden w:val="on"/>
    <w:qFormat w:val="on"/>
    <w:rPr>
      <w:sz w:val="20"/>
      <w:szCs w:val="20"/>
    </w:rPr>
  </w:style>
  <w:style w:type="character" w:customStyle="1" w:styleId="ТекстЗнак">
    <w:name w:val="Текст Знак"/>
    <w:basedOn w:val="DefaultParagraphFont"/>
    <w:link w:val="PlainText"/>
    <w:uiPriority w:val="99"/>
    <w:qFormat w:val="on"/>
    <w:rPr>
      <w:rFonts w:ascii="Courier New" w:cs="Courier New" w:hAnsi="Courier New"/>
      <w:sz w:val="21"/>
      <w:szCs w:val="21"/>
    </w:rPr>
  </w:style>
  <w:style w:type="character" w:customStyle="1" w:styleId="ВерхнийколонтитулЗнак">
    <w:name w:val="Верхний колонтитул Знак"/>
    <w:basedOn w:val="DefaultParagraphFont"/>
    <w:link w:val="Header"/>
    <w:uiPriority w:val="99"/>
    <w:qFormat w:val="on"/>
  </w:style>
  <w:style w:type="character" w:customStyle="1" w:styleId="НижнийколонтитулЗнак">
    <w:name w:val="Нижний колонтитул Знак"/>
    <w:basedOn w:val="DefaultParagraphFont"/>
    <w:link w:val="Footer"/>
    <w:uiPriority w:val="99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theme" Target="theme/theme1.xml"/><Relationship Id="rId7" Type="http://schemas.openxmlformats.org/officeDocument/2006/relationships/fontTable" Target="fontTable.xml"/><Relationship Id="rId9" Type="http://schemas.openxmlformats.org/officeDocument/2006/relationships/image" Target="media/image1.png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2020</Characters>
  <Lines>16</Lines>
  <Paragraphs>4</Paragraphs>
  <TotalTime>243</TotalTime>
  <ScaleCrop>false</ScaleCrop>
  <LinksUpToDate>false</LinksUpToDate>
  <CharactersWithSpaces>2370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</dc:creator>
  <cp:lastModifiedBy>Степан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6CBEA5F3DB9845E2A3A3FB4E66903761_13</vt:lpwstr>
  </property>
</Properties>
</file>