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43A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color w:val="000000"/>
          <w:highlight w:val="none"/>
        </w:rPr>
      </w:pPr>
      <w:r>
        <w:rPr>
          <w:b/>
          <w:color w:val="000000"/>
          <w:highlight w:val="none"/>
        </w:rPr>
        <w:t xml:space="preserve">Новые производные </w:t>
      </w:r>
      <w:r>
        <w:rPr>
          <w:b/>
          <w:i/>
          <w:color w:val="000000"/>
          <w:highlight w:val="none"/>
        </w:rPr>
        <w:t>бис-</w:t>
      </w:r>
      <w:r>
        <w:rPr>
          <w:b/>
          <w:color w:val="000000"/>
          <w:highlight w:val="none"/>
        </w:rPr>
        <w:t xml:space="preserve"> и </w:t>
      </w:r>
      <w:r>
        <w:rPr>
          <w:b/>
          <w:i/>
          <w:color w:val="000000"/>
          <w:highlight w:val="none"/>
        </w:rPr>
        <w:t>трис-</w:t>
      </w:r>
      <w:r>
        <w:rPr>
          <w:b/>
          <w:iCs/>
          <w:color w:val="000000"/>
          <w:highlight w:val="none"/>
        </w:rPr>
        <w:t>1Н</w:t>
      </w:r>
      <w:r>
        <w:rPr>
          <w:b/>
          <w:color w:val="000000"/>
          <w:highlight w:val="none"/>
        </w:rPr>
        <w:t>-1,2,3-триазолилэтиламина для формирования 0</w:t>
      </w:r>
      <w:r>
        <w:rPr>
          <w:b/>
          <w:color w:val="000000"/>
          <w:highlight w:val="none"/>
          <w:lang w:val="en-US"/>
        </w:rPr>
        <w:t>D</w:t>
      </w:r>
      <w:r>
        <w:rPr>
          <w:b/>
          <w:color w:val="000000"/>
          <w:highlight w:val="none"/>
        </w:rPr>
        <w:t>-2</w:t>
      </w:r>
      <w:r>
        <w:rPr>
          <w:b/>
          <w:color w:val="000000"/>
          <w:highlight w:val="none"/>
          <w:lang w:val="en-US"/>
        </w:rPr>
        <w:t>D</w:t>
      </w:r>
      <w:r>
        <w:rPr>
          <w:b/>
          <w:color w:val="000000"/>
          <w:highlight w:val="none"/>
        </w:rPr>
        <w:t xml:space="preserve"> координационных соединений на основе ионов </w:t>
      </w:r>
      <w:r>
        <w:rPr>
          <w:b/>
          <w:i/>
          <w:iCs/>
          <w:color w:val="000000"/>
          <w:highlight w:val="none"/>
        </w:rPr>
        <w:t>3</w:t>
      </w:r>
      <w:r>
        <w:rPr>
          <w:b/>
          <w:i/>
          <w:iCs/>
          <w:color w:val="000000"/>
          <w:highlight w:val="none"/>
          <w:lang w:val="en-US"/>
        </w:rPr>
        <w:t>d</w:t>
      </w:r>
      <w:r>
        <w:rPr>
          <w:b/>
          <w:color w:val="000000"/>
          <w:highlight w:val="none"/>
        </w:rPr>
        <w:t>-металлов</w:t>
      </w:r>
      <w:r>
        <w:rPr>
          <w:b/>
          <w:color w:val="000000"/>
          <w:highlight w:val="none"/>
        </w:rPr>
        <w:t xml:space="preserve"> </w:t>
      </w:r>
    </w:p>
    <w:p w14:paraId="0000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Соловьева В.А.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Шутилов И.Д.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Овсянников А.С.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Французова Л.В.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Герасимова Д.П.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Литвинов И.А.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Соловьева С.Е.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Антипин И.С.</w:t>
      </w:r>
      <w:r>
        <w:rPr>
          <w:b/>
          <w:i/>
          <w:color w:val="000000"/>
          <w:vertAlign w:val="superscript"/>
        </w:rPr>
        <w:t>1</w:t>
      </w:r>
    </w:p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специалитета </w:t>
      </w:r>
    </w:p>
    <w:p w14:paraId="000000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 Казанский (Приволжский) федеральный университет,</w:t>
      </w:r>
      <w:r>
        <w:rPr>
          <w:i/>
          <w:color w:val="000000"/>
        </w:rPr>
        <w:br w:type="textWrapping"/>
      </w:r>
      <w:r>
        <w:rPr>
          <w:i/>
          <w:color w:val="000000"/>
        </w:rPr>
        <w:t>химический институт им. А.М. Бутлерова, Казань, Россия</w:t>
      </w:r>
    </w:p>
    <w:p w14:paraId="000000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t xml:space="preserve"> </w:t>
      </w:r>
      <w:r>
        <w:rPr>
          <w:i/>
          <w:color w:val="000000"/>
        </w:rPr>
        <w:t xml:space="preserve">Институт органической и физической химии им. А.Е. Арбузова, ФИЦ Казанский научный центр РАН, Казань, Россия </w:t>
      </w:r>
    </w:p>
    <w:p w14:paraId="000000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svika</w:t>
      </w:r>
      <w:r>
        <w:rPr>
          <w:i/>
          <w:color w:val="000000"/>
          <w:u w:val="single"/>
        </w:rPr>
        <w:t>8300@</w:t>
      </w:r>
      <w:r>
        <w:rPr>
          <w:i/>
          <w:color w:val="000000"/>
          <w:u w:val="single"/>
          <w:lang w:val="en-US"/>
        </w:rPr>
        <w:t>gmail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01B5A9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  <w:highlight w:val="none"/>
        </w:rPr>
      </w:pPr>
      <w:r>
        <w:rPr>
          <w:color w:val="000000"/>
        </w:rPr>
        <w:t>Производные 1,4-дизамещенных</w:t>
      </w:r>
      <w:r>
        <w:rPr>
          <w:color w:val="000000"/>
          <w:highlight w:val="none"/>
        </w:rPr>
        <w:t xml:space="preserve"> 1Н-1,2,3-триазолов, получаемые в ходе реакции медь-катализируемого [3+2]-азид-алкинового циклоприсоединения, зарекомендовали себя в качестве полидентантных </w:t>
      </w:r>
      <w:r>
        <w:rPr>
          <w:i/>
          <w:iCs/>
          <w:color w:val="000000"/>
          <w:highlight w:val="none"/>
          <w:lang w:val="en-US"/>
        </w:rPr>
        <w:t>N</w:t>
      </w:r>
      <w:r>
        <w:rPr>
          <w:i/>
          <w:iCs/>
          <w:color w:val="000000"/>
          <w:highlight w:val="none"/>
        </w:rPr>
        <w:t>-</w:t>
      </w:r>
      <w:r>
        <w:rPr>
          <w:color w:val="000000"/>
          <w:highlight w:val="none"/>
        </w:rPr>
        <w:t xml:space="preserve">донорных лигандов, широко применяемых в координационной химии для получения функциональных кристаллических материалов в качестве катализаторов реакций окисления и магнитноактивных спин-переключаемых систем [1,2]. </w:t>
      </w:r>
    </w:p>
    <w:p w14:paraId="7DC407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highlight w:val="none"/>
        </w:rPr>
        <w:t xml:space="preserve">Целью данной работы был синтез новых полидентатных лигандов на основе </w:t>
      </w:r>
      <w:r>
        <w:rPr>
          <w:i/>
          <w:color w:val="000000"/>
          <w:highlight w:val="none"/>
        </w:rPr>
        <w:t>бис-</w:t>
      </w:r>
      <w:r>
        <w:rPr>
          <w:color w:val="000000"/>
          <w:highlight w:val="none"/>
        </w:rPr>
        <w:t xml:space="preserve"> и </w:t>
      </w:r>
      <w:r>
        <w:rPr>
          <w:i/>
          <w:color w:val="000000"/>
          <w:highlight w:val="none"/>
        </w:rPr>
        <w:t>трис-</w:t>
      </w:r>
      <w:r>
        <w:rPr>
          <w:color w:val="000000"/>
          <w:highlight w:val="none"/>
        </w:rPr>
        <w:t xml:space="preserve">(2-азидоэтил)аминов, </w:t>
      </w:r>
      <w:r>
        <w:rPr>
          <w:highlight w:val="none"/>
        </w:rPr>
        <w:t xml:space="preserve">содержащих различные заместители в 4 положении гетероциклического кольца </w:t>
      </w:r>
      <w:r>
        <w:rPr>
          <w:color w:val="000000"/>
          <w:highlight w:val="none"/>
        </w:rPr>
        <w:t xml:space="preserve">(рис. 1) в триазолильном фрагменте, а также координационных полимеров на их основе с катионами </w:t>
      </w:r>
      <w:r>
        <w:rPr>
          <w:i/>
          <w:iCs/>
          <w:color w:val="000000"/>
          <w:highlight w:val="none"/>
        </w:rPr>
        <w:t>3</w:t>
      </w:r>
      <w:r>
        <w:rPr>
          <w:i/>
          <w:color w:val="000000"/>
          <w:highlight w:val="none"/>
        </w:rPr>
        <w:t>d</w:t>
      </w:r>
      <w:r>
        <w:rPr>
          <w:color w:val="000000"/>
          <w:highlight w:val="none"/>
        </w:rPr>
        <w:t>-металлов (</w:t>
      </w:r>
      <w:r>
        <w:rPr>
          <w:color w:val="000000"/>
          <w:highlight w:val="none"/>
          <w:lang w:val="en-US"/>
        </w:rPr>
        <w:t>Mn</w:t>
      </w:r>
      <w:r>
        <w:rPr>
          <w:color w:val="000000"/>
          <w:highlight w:val="none"/>
          <w:vertAlign w:val="superscript"/>
          <w:lang w:val="en-US"/>
        </w:rPr>
        <w:t>II</w:t>
      </w:r>
      <w:r>
        <w:rPr>
          <w:color w:val="000000"/>
          <w:highlight w:val="none"/>
        </w:rPr>
        <w:t>, Cu</w:t>
      </w:r>
      <w:r>
        <w:rPr>
          <w:color w:val="000000"/>
          <w:highlight w:val="none"/>
          <w:vertAlign w:val="superscript"/>
        </w:rPr>
        <w:t>II</w:t>
      </w:r>
      <w:r>
        <w:rPr>
          <w:color w:val="000000"/>
          <w:highlight w:val="none"/>
        </w:rPr>
        <w:t>, Co</w:t>
      </w:r>
      <w:r>
        <w:rPr>
          <w:color w:val="000000"/>
          <w:highlight w:val="none"/>
          <w:vertAlign w:val="superscript"/>
        </w:rPr>
        <w:t>II</w:t>
      </w:r>
      <w:r>
        <w:rPr>
          <w:color w:val="000000"/>
          <w:highlight w:val="none"/>
        </w:rPr>
        <w:t>, Fe</w:t>
      </w:r>
      <w:r>
        <w:rPr>
          <w:color w:val="000000"/>
          <w:highlight w:val="none"/>
          <w:vertAlign w:val="superscript"/>
        </w:rPr>
        <w:t>II/III</w:t>
      </w:r>
      <w:r>
        <w:rPr>
          <w:color w:val="000000"/>
          <w:highlight w:val="none"/>
        </w:rPr>
        <w:t xml:space="preserve">). В результате были получены новые </w:t>
      </w:r>
      <w:r>
        <w:rPr>
          <w:i/>
          <w:color w:val="000000"/>
          <w:highlight w:val="none"/>
        </w:rPr>
        <w:t>0D</w:t>
      </w:r>
      <w:r>
        <w:rPr>
          <w:color w:val="000000"/>
          <w:highlight w:val="none"/>
        </w:rPr>
        <w:t xml:space="preserve"> - </w:t>
      </w:r>
      <w:r>
        <w:rPr>
          <w:i/>
          <w:color w:val="000000"/>
          <w:highlight w:val="none"/>
        </w:rPr>
        <w:t>2D</w:t>
      </w:r>
      <w:r>
        <w:rPr>
          <w:color w:val="000000"/>
          <w:highlight w:val="none"/>
        </w:rPr>
        <w:t xml:space="preserve"> коор</w:t>
      </w:r>
      <w:r>
        <w:rPr>
          <w:color w:val="000000"/>
        </w:rPr>
        <w:t xml:space="preserve">динационные полимеры, структура которых установлена с помощью монокристального РСА. Выявлены особенности конформационного поведения лигандов при образовании полученных координационных соединений (высокая стабильность конформации «закрытый зонтик» в случае </w:t>
      </w:r>
      <w:r>
        <w:rPr>
          <w:i/>
          <w:color w:val="000000"/>
        </w:rPr>
        <w:t>трис-</w:t>
      </w:r>
      <w:r>
        <w:rPr>
          <w:iCs/>
          <w:color w:val="000000"/>
        </w:rPr>
        <w:t>производных</w:t>
      </w:r>
      <w:r>
        <w:rPr>
          <w:color w:val="000000"/>
        </w:rPr>
        <w:t xml:space="preserve">). Продемонстрировано влияние природы катиона </w:t>
      </w:r>
      <w:r>
        <w:rPr>
          <w:i/>
          <w:iCs/>
          <w:color w:val="000000"/>
        </w:rPr>
        <w:t>3</w:t>
      </w:r>
      <w:r>
        <w:rPr>
          <w:i/>
          <w:iCs/>
          <w:color w:val="000000"/>
          <w:lang w:val="en-US"/>
        </w:rPr>
        <w:t>d</w:t>
      </w:r>
      <w:r>
        <w:rPr>
          <w:color w:val="000000"/>
        </w:rPr>
        <w:t>-металла и аниона используемой соли в стабилизации структурных мотивов образующихся комплексов.</w:t>
      </w:r>
    </w:p>
    <w:p w14:paraId="6459E579">
      <w:pPr>
        <w:spacing w:line="288" w:lineRule="auto"/>
        <w:jc w:val="center"/>
        <w:rPr>
          <w:rFonts w:eastAsia="Calibri"/>
        </w:rPr>
      </w:pPr>
      <w:r>
        <w:rPr>
          <w:rFonts w:eastAsia="Calibri"/>
        </w:rPr>
        <w:drawing>
          <wp:inline distT="0" distB="0" distL="0" distR="0">
            <wp:extent cx="3260090" cy="2877820"/>
            <wp:effectExtent l="0" t="0" r="1270" b="2540"/>
            <wp:docPr id="1" name="Рисунок 1" descr="C:\Users\420\Desktop\Вика\конференции\ishfoiw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420\Desktop\Вика\конференции\ishfoiwe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0090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C54991">
      <w:pPr>
        <w:spacing w:line="288" w:lineRule="auto"/>
        <w:jc w:val="center"/>
        <w:rPr>
          <w:rFonts w:eastAsia="Calibri"/>
        </w:rPr>
      </w:pPr>
      <w:r>
        <w:rPr>
          <w:rFonts w:eastAsia="Calibri"/>
        </w:rPr>
        <w:t>Рис. 1. Схема синтеза б</w:t>
      </w:r>
      <w:r>
        <w:rPr>
          <w:rFonts w:eastAsia="Calibri"/>
          <w:i/>
        </w:rPr>
        <w:t xml:space="preserve">ис- </w:t>
      </w:r>
      <w:r>
        <w:rPr>
          <w:rFonts w:eastAsia="Calibri"/>
        </w:rPr>
        <w:t>и</w:t>
      </w:r>
      <w:r>
        <w:rPr>
          <w:rFonts w:eastAsia="Calibri"/>
          <w:i/>
        </w:rPr>
        <w:t xml:space="preserve"> трис-</w:t>
      </w:r>
      <w:r>
        <w:rPr>
          <w:rFonts w:eastAsia="Calibri"/>
        </w:rPr>
        <w:t>[2-(1,2,3-триазол-1-ил)этил]аминов</w:t>
      </w:r>
    </w:p>
    <w:p w14:paraId="71CDC9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310B8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eastAsia="Calibri"/>
          <w:lang w:val="en-US"/>
        </w:rPr>
      </w:pPr>
      <w:r>
        <w:rPr>
          <w:rFonts w:eastAsia="SimSun"/>
          <w:lang w:val="en-US"/>
        </w:rPr>
        <w:t xml:space="preserve">1. </w:t>
      </w:r>
      <w:r>
        <w:rPr>
          <w:rFonts w:eastAsia="Calibri"/>
          <w:lang w:val="en-US"/>
        </w:rPr>
        <w:t>Moraesa C., de Souza</w:t>
      </w:r>
      <w:r>
        <w:rPr>
          <w:lang w:val="en-US"/>
        </w:rPr>
        <w:t xml:space="preserve"> </w:t>
      </w:r>
      <w:r>
        <w:rPr>
          <w:rFonts w:eastAsia="Calibri"/>
          <w:lang w:val="en-US"/>
        </w:rPr>
        <w:t xml:space="preserve">P., 1D coordination polymer based on copper(II)-containing tetrameric 1,2,3-triazole ligand from click chemistry: Magnetic and catalytic properties // Inorg. Chim. Acta. </w:t>
      </w:r>
      <w:r>
        <w:rPr>
          <w:rFonts w:eastAsia="Calibri"/>
          <w:bCs/>
          <w:lang w:val="en-US"/>
        </w:rPr>
        <w:t>2019</w:t>
      </w:r>
      <w:r>
        <w:rPr>
          <w:rFonts w:eastAsia="Calibri"/>
          <w:lang w:val="en-US"/>
        </w:rPr>
        <w:t>. Vol. 489. P. 93</w:t>
      </w:r>
      <w:r>
        <w:rPr>
          <w:rFonts w:eastAsia="Segoe UI"/>
          <w:color w:val="212121"/>
          <w:shd w:val="clear" w:color="auto" w:fill="FFFFFF"/>
          <w:lang w:val="en-US"/>
        </w:rPr>
        <w:t>-</w:t>
      </w:r>
      <w:r>
        <w:rPr>
          <w:rFonts w:eastAsia="Calibri"/>
          <w:lang w:val="en-US"/>
        </w:rPr>
        <w:t xml:space="preserve">99. </w:t>
      </w:r>
    </w:p>
    <w:p w14:paraId="17EB2930">
      <w:pPr>
        <w:spacing w:line="288" w:lineRule="auto"/>
        <w:rPr>
          <w:rFonts w:eastAsia="Calibri"/>
        </w:rPr>
      </w:pPr>
      <w:r>
        <w:rPr>
          <w:rFonts w:eastAsia="Calibri"/>
          <w:lang w:val="en-US"/>
        </w:rPr>
        <w:t>2.</w:t>
      </w:r>
      <w:r>
        <w:rPr>
          <w:rFonts w:eastAsia="Calibri"/>
          <w:vertAlign w:val="superscript"/>
          <w:lang w:val="en-US"/>
        </w:rPr>
        <w:t xml:space="preserve"> </w:t>
      </w:r>
      <w:r>
        <w:rPr>
          <w:rFonts w:eastAsia="Calibri"/>
          <w:lang w:val="en-US"/>
        </w:rPr>
        <w:t xml:space="preserve">Schweinfurth, D. et al. Cobalt Complexes with “Click”-Derived Functional Tripodal Ligands: Spin Crossover and Coordination Ambivalence // Inorg. Chem. 2011. </w:t>
      </w:r>
      <w:r>
        <w:rPr>
          <w:color w:val="000000"/>
          <w:lang w:val="en-US"/>
        </w:rPr>
        <w:t>Vol.</w:t>
      </w:r>
      <w:r>
        <w:rPr>
          <w:rFonts w:eastAsia="Calibri"/>
          <w:lang w:val="en-US"/>
        </w:rPr>
        <w:t xml:space="preserve"> 50. P. 6114-6121.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4712"/>
    <w:rsid w:val="001E61C2"/>
    <w:rsid w:val="001E7661"/>
    <w:rsid w:val="001F0493"/>
    <w:rsid w:val="001F6174"/>
    <w:rsid w:val="002152BE"/>
    <w:rsid w:val="0022260A"/>
    <w:rsid w:val="002264EE"/>
    <w:rsid w:val="0023307C"/>
    <w:rsid w:val="002345CD"/>
    <w:rsid w:val="002D1ECF"/>
    <w:rsid w:val="0031361E"/>
    <w:rsid w:val="00390802"/>
    <w:rsid w:val="00391C38"/>
    <w:rsid w:val="003B76D6"/>
    <w:rsid w:val="003E2601"/>
    <w:rsid w:val="003F4E6B"/>
    <w:rsid w:val="004045B5"/>
    <w:rsid w:val="004A26A3"/>
    <w:rsid w:val="004F0EDF"/>
    <w:rsid w:val="005171ED"/>
    <w:rsid w:val="00522BF1"/>
    <w:rsid w:val="00530484"/>
    <w:rsid w:val="00590166"/>
    <w:rsid w:val="005D022B"/>
    <w:rsid w:val="005E5BE9"/>
    <w:rsid w:val="0069427D"/>
    <w:rsid w:val="006A2E1C"/>
    <w:rsid w:val="006F7A19"/>
    <w:rsid w:val="007213E1"/>
    <w:rsid w:val="00775389"/>
    <w:rsid w:val="00797838"/>
    <w:rsid w:val="007C36D8"/>
    <w:rsid w:val="007D280B"/>
    <w:rsid w:val="007F2744"/>
    <w:rsid w:val="0084216C"/>
    <w:rsid w:val="0085035B"/>
    <w:rsid w:val="008625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09E0"/>
    <w:rsid w:val="00AD7380"/>
    <w:rsid w:val="00BF36F8"/>
    <w:rsid w:val="00BF4622"/>
    <w:rsid w:val="00C844E2"/>
    <w:rsid w:val="00CD00B1"/>
    <w:rsid w:val="00D22306"/>
    <w:rsid w:val="00D42542"/>
    <w:rsid w:val="00D8121C"/>
    <w:rsid w:val="00DB6D50"/>
    <w:rsid w:val="00DC3864"/>
    <w:rsid w:val="00E22189"/>
    <w:rsid w:val="00E448B8"/>
    <w:rsid w:val="00E74069"/>
    <w:rsid w:val="00E81D35"/>
    <w:rsid w:val="00EB1F49"/>
    <w:rsid w:val="00F40F1C"/>
    <w:rsid w:val="00F63B00"/>
    <w:rsid w:val="00F865B3"/>
    <w:rsid w:val="00FB1509"/>
    <w:rsid w:val="00FF1903"/>
    <w:rsid w:val="2DB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Абзац списка Знак"/>
    <w:basedOn w:val="8"/>
    <w:link w:val="14"/>
    <w:qFormat/>
    <w:locked/>
    <w:uiPriority w:val="34"/>
  </w:style>
  <w:style w:type="character" w:styleId="16">
    <w:name w:val="Placeholder Text"/>
    <w:basedOn w:val="8"/>
    <w:semiHidden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Неразрешенное упоминание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72AACA-2570-4957-9E62-BCBBB2C3AE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409</Words>
  <Characters>2337</Characters>
  <Lines>19</Lines>
  <Paragraphs>5</Paragraphs>
  <TotalTime>47</TotalTime>
  <ScaleCrop>false</ScaleCrop>
  <LinksUpToDate>false</LinksUpToDate>
  <CharactersWithSpaces>2741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2025-02-27T15:33:00Z</dcterms:created>
  <dc:creator>Виктория Соловьева</dc:creator>
  <cp:lastModifiedBy>Вика Соловьева</cp:lastModifiedBy>
  <dcterms:modified xsi:type="dcterms:W3CDTF">2025-03-01T14:24:55Z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039BE5E51A2344298EFF5A7680FE0D54_12</vt:lpwstr>
  </property>
</Properties>
</file>