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68EC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color w:val="000000"/>
        </w:rPr>
        <w:t>Синтез и биологическая активность ферроценилтриазолов</w:t>
      </w:r>
    </w:p>
    <w:p w14:paraId="2A4B1DA5">
      <w:pP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Дашко М.С., Родионов А.Н.</w:t>
      </w:r>
      <w:r>
        <w:rPr>
          <w:b/>
          <w:color w:val="000000"/>
        </w:rPr>
        <w:t xml:space="preserve"> </w:t>
      </w:r>
    </w:p>
    <w:p w14:paraId="0DD6FF0A">
      <w:pPr>
        <w:shd w:val="clear" w:color="auto" w:fill="FFFFFF"/>
        <w:jc w:val="center"/>
        <w:rPr>
          <w:rFonts w:hint="default"/>
          <w:i/>
          <w:color w:val="000000"/>
          <w:lang w:val="ru-RU"/>
        </w:rPr>
      </w:pPr>
      <w:r>
        <w:rPr>
          <w:i/>
          <w:color w:val="000000"/>
          <w:lang w:val="ru-RU"/>
        </w:rPr>
        <w:t>Старший</w:t>
      </w:r>
      <w:r>
        <w:rPr>
          <w:rFonts w:hint="default"/>
          <w:i/>
          <w:color w:val="000000"/>
          <w:lang w:val="ru-RU"/>
        </w:rPr>
        <w:t xml:space="preserve"> лаборант</w:t>
      </w:r>
    </w:p>
    <w:p w14:paraId="1EBD07BA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Институт элементоорганических соединений им. А. Н. Несмеянова РАН,</w:t>
      </w:r>
    </w:p>
    <w:p w14:paraId="54DE3AA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Москва, Россия </w:t>
      </w:r>
    </w:p>
    <w:p w14:paraId="286F028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fldChar w:fldCharType="begin"/>
      </w:r>
      <w:r>
        <w:instrText xml:space="preserve"> HYPERLINK "mailto:dashko-03@mail.ru" </w:instrText>
      </w:r>
      <w:r>
        <w:fldChar w:fldCharType="separate"/>
      </w:r>
      <w:r>
        <w:rPr>
          <w:rStyle w:val="11"/>
          <w:i/>
          <w:iCs/>
          <w:lang w:val="en-US"/>
        </w:rPr>
        <w:t>dashko</w:t>
      </w:r>
      <w:r>
        <w:rPr>
          <w:rStyle w:val="11"/>
          <w:i/>
          <w:iCs/>
        </w:rPr>
        <w:t>-03@</w:t>
      </w:r>
      <w:r>
        <w:rPr>
          <w:rStyle w:val="11"/>
          <w:i/>
          <w:iCs/>
          <w:lang w:val="en-US"/>
        </w:rPr>
        <w:t>mail</w:t>
      </w:r>
      <w:r>
        <w:rPr>
          <w:rStyle w:val="11"/>
          <w:i/>
          <w:iCs/>
        </w:rPr>
        <w:t>.</w:t>
      </w:r>
      <w:r>
        <w:rPr>
          <w:rStyle w:val="11"/>
          <w:i/>
          <w:iCs/>
          <w:lang w:val="en-US"/>
        </w:rPr>
        <w:t>ru</w:t>
      </w:r>
      <w:r>
        <w:rPr>
          <w:rStyle w:val="11"/>
          <w:i/>
          <w:iCs/>
          <w:lang w:val="en-US"/>
        </w:rPr>
        <w:fldChar w:fldCharType="end"/>
      </w:r>
      <w:r>
        <w:rPr>
          <w:i/>
          <w:color w:val="000000"/>
        </w:rPr>
        <w:t xml:space="preserve"> </w:t>
      </w:r>
    </w:p>
    <w:p w14:paraId="45C0DF5E">
      <w:pPr>
        <w:shd w:val="clear" w:color="auto" w:fill="FFFFFF"/>
        <w:ind w:firstLine="397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Производные ферроцена в последние десятилетия приобрели значимую роль в качестве потенциальных химиотерапевтических средств. В частности, значительное внимание уделяется их противоопухолевым, противомикробным и противовоспалительным свойствам. </w:t>
      </w:r>
      <w:r>
        <w:rPr>
          <w:color w:val="auto"/>
        </w:rPr>
        <w:t xml:space="preserve">Кроме того, ферроценильный фрагмент проявляет электрохимическую активность благодаря своей способности подвергаться обратимому одноэлектронному окислению. Это приводит к образованию соответствующего водорастворимого катион-радикала ферроцения, генерируя активные формы кислорода [1]. </w:t>
      </w:r>
      <w:r>
        <w:rPr>
          <w:color w:val="auto"/>
          <w:lang w:eastAsia="en-US"/>
        </w:rPr>
        <w:t>Стабильность ферроцена позволил</w:t>
      </w:r>
      <w:r>
        <w:rPr>
          <w:color w:val="auto"/>
          <w:lang w:val="ru-RU" w:eastAsia="en-US"/>
        </w:rPr>
        <w:t>а</w:t>
      </w:r>
      <w:r>
        <w:rPr>
          <w:color w:val="auto"/>
          <w:lang w:eastAsia="en-US"/>
        </w:rPr>
        <w:t xml:space="preserve"> сделать его производные потенциальными кандидатами для обширного биологического применения [2].</w:t>
      </w:r>
    </w:p>
    <w:p w14:paraId="1345E953">
      <w:pPr>
        <w:shd w:val="clear" w:color="auto" w:fill="FFFFFF"/>
        <w:ind w:firstLine="397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Данная работа посвящена синтезу, изучению свойств и исследовани</w:t>
      </w:r>
      <w:r>
        <w:rPr>
          <w:color w:val="auto"/>
          <w:lang w:val="ru-RU" w:eastAsia="en-US"/>
        </w:rPr>
        <w:t>ю</w:t>
      </w:r>
      <w:r>
        <w:rPr>
          <w:color w:val="auto"/>
          <w:lang w:eastAsia="en-US"/>
        </w:rPr>
        <w:t xml:space="preserve"> биологической активности гетероциклических производных ферроцена, а именно – ферроценил-замещённых 1,2,3-триазолов.</w:t>
      </w:r>
    </w:p>
    <w:p w14:paraId="3AA4BE5F">
      <w:pPr>
        <w:shd w:val="clear" w:color="auto" w:fill="FFFFFF"/>
        <w:ind w:firstLine="397"/>
        <w:jc w:val="both"/>
        <w:rPr>
          <w:rFonts w:hint="default"/>
          <w:color w:val="auto"/>
          <w:lang w:val="ru-RU" w:eastAsia="en-US"/>
        </w:rPr>
      </w:pPr>
      <w:r>
        <w:rPr>
          <w:color w:val="auto"/>
          <w:lang w:eastAsia="en-US"/>
        </w:rPr>
        <w:t>Удобным методом получе</w:t>
      </w:r>
      <w:bookmarkStart w:id="0" w:name="_GoBack"/>
      <w:bookmarkEnd w:id="0"/>
      <w:r>
        <w:rPr>
          <w:color w:val="auto"/>
          <w:lang w:eastAsia="en-US"/>
        </w:rPr>
        <w:t>ния 1,4-замещённых ферроценил-1</w:t>
      </w:r>
      <w:r>
        <w:rPr>
          <w:i/>
          <w:iCs/>
          <w:color w:val="auto"/>
          <w:lang w:eastAsia="en-US"/>
        </w:rPr>
        <w:t>H</w:t>
      </w:r>
      <w:r>
        <w:rPr>
          <w:color w:val="auto"/>
          <w:lang w:eastAsia="en-US"/>
        </w:rPr>
        <w:t xml:space="preserve">-1,2,3-триазолов является реакция Хьюсгена, в которой в качестве катализатора используют соединения одновалентной меди, полученные </w:t>
      </w:r>
      <w:r>
        <w:rPr>
          <w:i/>
          <w:iCs/>
          <w:color w:val="auto"/>
          <w:lang w:val="en-US" w:eastAsia="en-US"/>
        </w:rPr>
        <w:t>in</w:t>
      </w:r>
      <w:r>
        <w:rPr>
          <w:i/>
          <w:iCs/>
          <w:color w:val="auto"/>
          <w:lang w:eastAsia="en-US"/>
        </w:rPr>
        <w:t xml:space="preserve"> </w:t>
      </w:r>
      <w:r>
        <w:rPr>
          <w:i/>
          <w:iCs/>
          <w:color w:val="auto"/>
          <w:lang w:val="en-US" w:eastAsia="en-US"/>
        </w:rPr>
        <w:t>situ</w:t>
      </w:r>
      <w:r>
        <w:rPr>
          <w:i/>
          <w:iCs/>
          <w:color w:val="auto"/>
          <w:lang w:eastAsia="en-US"/>
        </w:rPr>
        <w:t xml:space="preserve">. </w:t>
      </w:r>
      <w:r>
        <w:rPr>
          <w:color w:val="auto"/>
          <w:lang w:eastAsia="en-US"/>
        </w:rPr>
        <w:t>В качестве исходных соединений были выбраны ферроценилалкилазиды и замещённые алкины</w:t>
      </w:r>
      <w:r>
        <w:rPr>
          <w:rFonts w:hint="default"/>
          <w:color w:val="auto"/>
          <w:lang w:val="en-US" w:eastAsia="en-US"/>
        </w:rPr>
        <w:t xml:space="preserve"> </w:t>
      </w:r>
      <w:r>
        <w:rPr>
          <w:rFonts w:hint="default"/>
          <w:color w:val="auto"/>
          <w:lang w:val="ru-RU" w:eastAsia="en-US"/>
        </w:rPr>
        <w:t>(Схема 1)</w:t>
      </w:r>
      <w:r>
        <w:rPr>
          <w:color w:val="auto"/>
          <w:lang w:eastAsia="en-US"/>
        </w:rPr>
        <w:t xml:space="preserve"> [3].</w:t>
      </w:r>
    </w:p>
    <w:p w14:paraId="7CFDFE4B">
      <w:pPr>
        <w:shd w:val="clear" w:color="auto" w:fill="FFFFFF"/>
        <w:ind w:firstLine="397"/>
        <w:jc w:val="center"/>
        <w:rPr>
          <w:b/>
          <w:color w:val="000000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878840</wp:posOffset>
            </wp:positionH>
            <wp:positionV relativeFrom="paragraph">
              <wp:posOffset>57150</wp:posOffset>
            </wp:positionV>
            <wp:extent cx="4598670" cy="1095375"/>
            <wp:effectExtent l="0" t="0" r="3810" b="1905"/>
            <wp:wrapTopAndBottom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867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  <w:lang w:eastAsia="en-US"/>
        </w:rPr>
        <w:t>Схема 1.</w:t>
      </w:r>
      <w:r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val="ru-RU" w:eastAsia="en-US"/>
        </w:rPr>
        <w:t>Синтез</w:t>
      </w:r>
      <w:r>
        <w:rPr>
          <w:color w:val="000000"/>
          <w:sz w:val="24"/>
          <w:szCs w:val="24"/>
          <w:lang w:eastAsia="en-US"/>
        </w:rPr>
        <w:t xml:space="preserve"> 1-ферроценилалкил-1</w:t>
      </w:r>
      <w:r>
        <w:rPr>
          <w:i/>
          <w:color w:val="000000"/>
          <w:sz w:val="24"/>
          <w:szCs w:val="24"/>
          <w:lang w:eastAsia="en-US"/>
        </w:rPr>
        <w:t>H</w:t>
      </w:r>
      <w:r>
        <w:rPr>
          <w:color w:val="000000"/>
          <w:sz w:val="24"/>
          <w:szCs w:val="24"/>
          <w:lang w:eastAsia="en-US"/>
        </w:rPr>
        <w:t>-1,2,3-триазолов</w:t>
      </w:r>
    </w:p>
    <w:p w14:paraId="37117F07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Литература</w:t>
      </w:r>
    </w:p>
    <w:p w14:paraId="35430C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1. Margaret A. L. Blackie, Kelly Chibale Metallocene Antimalarials: The Continuing Quest // Metal-Based Drugs. 2008. P. 1-10.</w:t>
      </w:r>
    </w:p>
    <w:p w14:paraId="6833419E">
      <w:pPr>
        <w:shd w:val="clear" w:color="auto" w:fill="FFFFFF"/>
        <w:jc w:val="both"/>
        <w:rPr>
          <w:color w:val="auto"/>
          <w:sz w:val="24"/>
          <w:szCs w:val="24"/>
          <w:shd w:val="clear" w:color="auto" w:fill="FFFFFF"/>
          <w:lang w:val="en-US"/>
        </w:rPr>
      </w:pPr>
      <w:r>
        <w:rPr>
          <w:color w:val="auto"/>
          <w:sz w:val="24"/>
          <w:szCs w:val="24"/>
          <w:shd w:val="clear" w:color="auto" w:fill="FFFFFF"/>
          <w:lang w:val="en-US"/>
        </w:rPr>
        <w:t>2. L. V. Snegur, A. A. Simenel, A. N. Rodionov, V. I. Boev. Ferrocene modifications of organic compounds for medicinal applications // Russian Chemical Bulletin. 2014. Vol. 63. P. 26–36.</w:t>
      </w:r>
    </w:p>
    <w:p w14:paraId="116928E3">
      <w:pPr>
        <w:shd w:val="clear" w:color="auto" w:fill="FFFFFF"/>
        <w:jc w:val="both"/>
        <w:rPr>
          <w:color w:val="auto"/>
          <w:sz w:val="24"/>
          <w:szCs w:val="24"/>
          <w:shd w:val="clear" w:color="auto" w:fill="FFFFFF"/>
          <w:lang w:val="en-US"/>
        </w:rPr>
      </w:pPr>
      <w:r>
        <w:rPr>
          <w:color w:val="auto"/>
          <w:sz w:val="24"/>
          <w:szCs w:val="24"/>
          <w:shd w:val="clear" w:color="auto" w:fill="FFFFFF"/>
          <w:lang w:val="en-US"/>
        </w:rPr>
        <w:t>3. L. N. Telegina, E. S. Kelbysheva, T. V. Strelkova, M. G. Ezernitskaya, Yu A. Borisov, A. F. Smol’yakov, A. S. Peregudov, A. N. Rodionov, N. S. Ikonnikov, N. M. Loim. Transalkylation and migration of n-substituent upon alkylation of 1,2,3-triazoles containing good leaving n-substituents // European Journal of Organic Chemistry. 2016. P.</w:t>
      </w:r>
      <w:r>
        <w:rPr>
          <w:color w:val="auto"/>
          <w:sz w:val="24"/>
          <w:szCs w:val="24"/>
          <w:shd w:val="clear" w:color="auto" w:fill="FFFFFF"/>
        </w:rPr>
        <w:t xml:space="preserve"> 5897–5906</w:t>
      </w:r>
      <w:r>
        <w:rPr>
          <w:color w:val="auto"/>
          <w:sz w:val="24"/>
          <w:szCs w:val="24"/>
          <w:shd w:val="clear" w:color="auto" w:fill="FFFFFF"/>
          <w:lang w:val="en-US"/>
        </w:rPr>
        <w:t>.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677C"/>
    <w:rsid w:val="000E334E"/>
    <w:rsid w:val="00101A1C"/>
    <w:rsid w:val="00103657"/>
    <w:rsid w:val="00106375"/>
    <w:rsid w:val="00106E87"/>
    <w:rsid w:val="00107AA3"/>
    <w:rsid w:val="00113CFA"/>
    <w:rsid w:val="00116478"/>
    <w:rsid w:val="00130241"/>
    <w:rsid w:val="0014012F"/>
    <w:rsid w:val="001E61C2"/>
    <w:rsid w:val="001F0493"/>
    <w:rsid w:val="0022260A"/>
    <w:rsid w:val="002264EE"/>
    <w:rsid w:val="0023307C"/>
    <w:rsid w:val="0031361E"/>
    <w:rsid w:val="00391C38"/>
    <w:rsid w:val="003B76D6"/>
    <w:rsid w:val="003C2480"/>
    <w:rsid w:val="003E2601"/>
    <w:rsid w:val="003F4E6B"/>
    <w:rsid w:val="004A26A3"/>
    <w:rsid w:val="004F0EDF"/>
    <w:rsid w:val="00522BF1"/>
    <w:rsid w:val="00590166"/>
    <w:rsid w:val="005D022B"/>
    <w:rsid w:val="005E5BE9"/>
    <w:rsid w:val="006825DB"/>
    <w:rsid w:val="0069427D"/>
    <w:rsid w:val="006B1AA2"/>
    <w:rsid w:val="006F7A19"/>
    <w:rsid w:val="007213E1"/>
    <w:rsid w:val="00775389"/>
    <w:rsid w:val="00797838"/>
    <w:rsid w:val="007C36D8"/>
    <w:rsid w:val="007F2744"/>
    <w:rsid w:val="008931BE"/>
    <w:rsid w:val="008A72D3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5379E"/>
    <w:rsid w:val="00C8015C"/>
    <w:rsid w:val="00C844E2"/>
    <w:rsid w:val="00CD00B1"/>
    <w:rsid w:val="00CD0E62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  <w:rsid w:val="0326291B"/>
    <w:rsid w:val="08BD5962"/>
    <w:rsid w:val="0B9B6D42"/>
    <w:rsid w:val="0C8D7FCB"/>
    <w:rsid w:val="0DFA4CA2"/>
    <w:rsid w:val="0EA94520"/>
    <w:rsid w:val="12B666CF"/>
    <w:rsid w:val="19B21C29"/>
    <w:rsid w:val="1E4742F7"/>
    <w:rsid w:val="34B07171"/>
    <w:rsid w:val="46627396"/>
    <w:rsid w:val="493F5AB6"/>
    <w:rsid w:val="55446D28"/>
    <w:rsid w:val="5A5D1C6E"/>
    <w:rsid w:val="5C356B56"/>
    <w:rsid w:val="68D753A0"/>
    <w:rsid w:val="760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Body Text"/>
    <w:basedOn w:val="1"/>
    <w:qFormat/>
    <w:uiPriority w:val="1"/>
    <w:pPr>
      <w:widowControl w:val="0"/>
      <w:autoSpaceDE w:val="0"/>
      <w:autoSpaceDN w:val="0"/>
    </w:p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link w:val="17"/>
    <w:qFormat/>
    <w:uiPriority w:val="34"/>
    <w:pPr>
      <w:ind w:left="720"/>
      <w:contextualSpacing/>
    </w:pPr>
  </w:style>
  <w:style w:type="character" w:customStyle="1" w:styleId="17">
    <w:name w:val="Абзац списка Знак"/>
    <w:basedOn w:val="8"/>
    <w:link w:val="16"/>
    <w:qFormat/>
    <w:locked/>
    <w:uiPriority w:val="34"/>
  </w:style>
  <w:style w:type="character" w:styleId="18">
    <w:name w:val="Placeholder Text"/>
    <w:basedOn w:val="8"/>
    <w:semiHidden/>
    <w:qFormat/>
    <w:uiPriority w:val="99"/>
    <w:rPr>
      <w:color w:val="808080"/>
    </w:rPr>
  </w:style>
  <w:style w:type="paragraph" w:styleId="19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20">
    <w:name w:val="Неразрешенное упоминание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Рецензия1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56B7E1-A313-4958-BE2D-CDDABBB3E9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316</Words>
  <Characters>1806</Characters>
  <Lines>15</Lines>
  <Paragraphs>4</Paragraphs>
  <TotalTime>42</TotalTime>
  <ScaleCrop>false</ScaleCrop>
  <LinksUpToDate>false</LinksUpToDate>
  <CharactersWithSpaces>2118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2025-03-08T17:42:00Z</dcterms:created>
  <dc:creator>Uzer</dc:creator>
  <cp:lastModifiedBy>Uzer</cp:lastModifiedBy>
  <dcterms:modified xsi:type="dcterms:W3CDTF">2025-03-12T17:59:28Z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46B42B161D374BC5949E03BA3AFC1D17_12</vt:lpwstr>
  </property>
</Properties>
</file>