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72C96" w14:textId="2F55D784" w:rsidR="00BE6258" w:rsidRPr="005B0947" w:rsidRDefault="005B09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Стирилпиридиниевый</w:t>
      </w:r>
      <w:proofErr w:type="spellEnd"/>
      <w:r>
        <w:rPr>
          <w:b/>
          <w:color w:val="000000"/>
        </w:rPr>
        <w:t xml:space="preserve"> краситель, содержащий </w:t>
      </w:r>
      <w:proofErr w:type="spellStart"/>
      <w:r>
        <w:rPr>
          <w:b/>
          <w:color w:val="000000"/>
        </w:rPr>
        <w:t>иминодиацетатную</w:t>
      </w:r>
      <w:proofErr w:type="spellEnd"/>
      <w:r>
        <w:rPr>
          <w:b/>
          <w:color w:val="000000"/>
        </w:rPr>
        <w:t xml:space="preserve"> рецепторную группу, для распознавания катионов </w:t>
      </w:r>
      <w:r>
        <w:rPr>
          <w:b/>
          <w:color w:val="000000"/>
          <w:lang w:val="en-US"/>
        </w:rPr>
        <w:t>Cu</w:t>
      </w:r>
      <w:r w:rsidRPr="005B0947">
        <w:rPr>
          <w:b/>
          <w:color w:val="000000"/>
          <w:vertAlign w:val="superscript"/>
        </w:rPr>
        <w:t>2+</w:t>
      </w:r>
      <w:r>
        <w:rPr>
          <w:b/>
          <w:color w:val="000000"/>
        </w:rPr>
        <w:t xml:space="preserve"> в водном растворе</w:t>
      </w:r>
    </w:p>
    <w:p w14:paraId="00000002" w14:textId="49426BC3" w:rsidR="00130241" w:rsidRDefault="00BE62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Куманев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С.П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proofErr w:type="spell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Устимова </w:t>
      </w:r>
      <w:proofErr w:type="spellStart"/>
      <w:r>
        <w:rPr>
          <w:b/>
          <w:i/>
          <w:color w:val="000000"/>
        </w:rPr>
        <w:t>М.А.</w:t>
      </w:r>
      <w:r w:rsidR="005823E6">
        <w:rPr>
          <w:b/>
          <w:i/>
          <w:color w:val="000000"/>
          <w:vertAlign w:val="superscript"/>
        </w:rPr>
        <w:t>1</w:t>
      </w:r>
      <w:proofErr w:type="spellEnd"/>
      <w:r w:rsidR="00EB1F49" w:rsidRPr="00BF4622">
        <w:rPr>
          <w:b/>
          <w:color w:val="000000"/>
        </w:rPr>
        <w:t xml:space="preserve"> </w:t>
      </w:r>
    </w:p>
    <w:p w14:paraId="00000003" w14:textId="1D4E7A38" w:rsidR="00130241" w:rsidRDefault="00BE62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0DD5391C" w14:textId="77777777" w:rsidR="005823E6" w:rsidRDefault="005823E6" w:rsidP="005823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proofErr w:type="spellStart"/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</w:t>
      </w:r>
      <w:proofErr w:type="spellEnd"/>
      <w:r>
        <w:rPr>
          <w:i/>
          <w:color w:val="000000"/>
        </w:rPr>
        <w:t xml:space="preserve"> Элементоорганических соединений им. </w:t>
      </w:r>
      <w:proofErr w:type="spellStart"/>
      <w:r>
        <w:rPr>
          <w:i/>
          <w:color w:val="000000"/>
        </w:rPr>
        <w:t>А.Н</w:t>
      </w:r>
      <w:proofErr w:type="spellEnd"/>
      <w:r>
        <w:rPr>
          <w:i/>
          <w:color w:val="000000"/>
        </w:rPr>
        <w:t>. Несмеянова Российской академии наук, Москва, Россия</w:t>
      </w:r>
    </w:p>
    <w:p w14:paraId="00000005" w14:textId="48A601AC" w:rsidR="00130241" w:rsidRPr="000E334E" w:rsidRDefault="00B10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  <w:vertAlign w:val="superscript"/>
        </w:rPr>
        <w:t>2</w:t>
      </w:r>
      <w:r w:rsidR="00BE6258" w:rsidRPr="00BE6258">
        <w:rPr>
          <w:i/>
          <w:color w:val="000000"/>
        </w:rPr>
        <w:t>РХТУ</w:t>
      </w:r>
      <w:proofErr w:type="spellEnd"/>
      <w:r w:rsidR="00BE6258" w:rsidRPr="00BE6258">
        <w:rPr>
          <w:i/>
          <w:color w:val="000000"/>
        </w:rPr>
        <w:t xml:space="preserve"> им. Менделеева, Факультет Химико-Фармацевтических Технологий</w:t>
      </w:r>
      <w:r w:rsidR="00EB1F49">
        <w:rPr>
          <w:i/>
          <w:color w:val="000000"/>
        </w:rPr>
        <w:t>, Москва, Россия</w:t>
      </w:r>
    </w:p>
    <w:p w14:paraId="00000008" w14:textId="78BC4433" w:rsidR="00130241" w:rsidRPr="00BE62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E6258">
        <w:rPr>
          <w:i/>
          <w:color w:val="000000"/>
          <w:lang w:val="en-US"/>
        </w:rPr>
        <w:t>E</w:t>
      </w:r>
      <w:r w:rsidR="003B76D6" w:rsidRPr="00BE6258">
        <w:rPr>
          <w:i/>
          <w:color w:val="000000"/>
          <w:lang w:val="en-US"/>
        </w:rPr>
        <w:t>-</w:t>
      </w:r>
      <w:r w:rsidRPr="00BE6258">
        <w:rPr>
          <w:i/>
          <w:color w:val="000000"/>
          <w:lang w:val="en-US"/>
        </w:rPr>
        <w:t xml:space="preserve">mail: </w:t>
      </w:r>
      <w:hyperlink r:id="rId7" w:history="1">
        <w:proofErr w:type="spellStart"/>
        <w:r w:rsidR="00BE6258" w:rsidRPr="00C45DC7">
          <w:rPr>
            <w:rStyle w:val="a9"/>
            <w:i/>
            <w:lang w:val="en-US"/>
          </w:rPr>
          <w:t>stanchik</w:t>
        </w:r>
        <w:r w:rsidR="00BE6258" w:rsidRPr="00BE6258">
          <w:rPr>
            <w:rStyle w:val="a9"/>
            <w:i/>
            <w:lang w:val="en-US"/>
          </w:rPr>
          <w:t>.</w:t>
        </w:r>
        <w:r w:rsidR="00BE6258" w:rsidRPr="00C45DC7">
          <w:rPr>
            <w:rStyle w:val="a9"/>
            <w:i/>
            <w:lang w:val="en-US"/>
          </w:rPr>
          <w:t>kumanev</w:t>
        </w:r>
        <w:r w:rsidR="00BE6258" w:rsidRPr="00BE6258">
          <w:rPr>
            <w:rStyle w:val="a9"/>
            <w:i/>
            <w:lang w:val="en-US"/>
          </w:rPr>
          <w:t>@yandex.ru</w:t>
        </w:r>
        <w:proofErr w:type="spellEnd"/>
      </w:hyperlink>
    </w:p>
    <w:p w14:paraId="15D5B20F" w14:textId="3D694F9C" w:rsidR="00BE6258" w:rsidRPr="00920E8D" w:rsidRDefault="00BE6258" w:rsidP="00BE6258">
      <w:pPr>
        <w:ind w:firstLine="397"/>
        <w:jc w:val="both"/>
        <w:rPr>
          <w:bCs/>
        </w:rPr>
      </w:pPr>
      <w:proofErr w:type="gramStart"/>
      <w:r w:rsidRPr="00920E8D">
        <w:rPr>
          <w:bCs/>
        </w:rPr>
        <w:t xml:space="preserve">Разработка новых </w:t>
      </w:r>
      <w:proofErr w:type="spellStart"/>
      <w:r w:rsidRPr="00920E8D">
        <w:rPr>
          <w:bCs/>
        </w:rPr>
        <w:t>хемосенсоров</w:t>
      </w:r>
      <w:proofErr w:type="spellEnd"/>
      <w:r w:rsidRPr="00920E8D">
        <w:rPr>
          <w:bCs/>
        </w:rPr>
        <w:t xml:space="preserve"> на катионы является одним из наиболее активно развивающихся междисциплинарных научных направлений, находящихся на стыке органической химии, </w:t>
      </w:r>
      <w:proofErr w:type="spellStart"/>
      <w:r w:rsidRPr="00920E8D">
        <w:rPr>
          <w:bCs/>
        </w:rPr>
        <w:t>супрамолекулярной</w:t>
      </w:r>
      <w:proofErr w:type="spellEnd"/>
      <w:r w:rsidRPr="00920E8D">
        <w:rPr>
          <w:bCs/>
        </w:rPr>
        <w:t xml:space="preserve"> химии и молекулярной оптической спектроскопии.</w:t>
      </w:r>
      <w:proofErr w:type="gramEnd"/>
      <w:r w:rsidRPr="00920E8D">
        <w:rPr>
          <w:bCs/>
        </w:rPr>
        <w:t xml:space="preserve"> Важность разработки флуоресцентных сенсоров для оптической визуализации катионов металлов в биологической среде обусловлена тем, что </w:t>
      </w:r>
      <w:r w:rsidR="005823E6">
        <w:rPr>
          <w:bCs/>
        </w:rPr>
        <w:t>р</w:t>
      </w:r>
      <w:r w:rsidRPr="00920E8D">
        <w:rPr>
          <w:bCs/>
        </w:rPr>
        <w:t>яд катионов, называемых биогенными, входит в состав ферментов различного действия и участвует в регуляции процессов, протекающих в организме. Контроль содержания биогенных ионов металлов в клетке позволяет изучать такие процессы и, кроме того, диагностировать некоторые заболевания.</w:t>
      </w:r>
    </w:p>
    <w:p w14:paraId="421CA2D8" w14:textId="2EE2BC37" w:rsidR="00BE6258" w:rsidRDefault="00BE6258" w:rsidP="00BE6258">
      <w:pPr>
        <w:ind w:firstLine="397"/>
        <w:jc w:val="both"/>
        <w:rPr>
          <w:bCs/>
        </w:rPr>
      </w:pPr>
      <w:r w:rsidRPr="00920E8D">
        <w:rPr>
          <w:bCs/>
        </w:rPr>
        <w:t xml:space="preserve">В данной работе был синтезирован </w:t>
      </w:r>
      <w:proofErr w:type="spellStart"/>
      <w:r w:rsidRPr="00920E8D">
        <w:rPr>
          <w:bCs/>
        </w:rPr>
        <w:t>стирилпиридиниевый</w:t>
      </w:r>
      <w:proofErr w:type="spellEnd"/>
      <w:r w:rsidRPr="00920E8D">
        <w:rPr>
          <w:bCs/>
        </w:rPr>
        <w:t xml:space="preserve"> краситель </w:t>
      </w:r>
      <w:r w:rsidRPr="00920E8D">
        <w:rPr>
          <w:b/>
          <w:bCs/>
        </w:rPr>
        <w:t>1</w:t>
      </w:r>
      <w:r w:rsidRPr="00920E8D">
        <w:rPr>
          <w:bCs/>
        </w:rPr>
        <w:t xml:space="preserve">, содержащий в структуре </w:t>
      </w:r>
      <w:proofErr w:type="spellStart"/>
      <w:r w:rsidR="005B0947">
        <w:rPr>
          <w:bCs/>
        </w:rPr>
        <w:t>иминодиацетатную</w:t>
      </w:r>
      <w:proofErr w:type="spellEnd"/>
      <w:r w:rsidR="005B0947">
        <w:rPr>
          <w:bCs/>
        </w:rPr>
        <w:t xml:space="preserve"> группу</w:t>
      </w:r>
      <w:r w:rsidRPr="00920E8D">
        <w:rPr>
          <w:bCs/>
        </w:rPr>
        <w:t xml:space="preserve"> в качестве рецепторного фрагмента для связывания катионов металлов (рис.</w:t>
      </w:r>
      <w:r w:rsidR="005823E6">
        <w:rPr>
          <w:bCs/>
        </w:rPr>
        <w:t xml:space="preserve"> 1</w:t>
      </w:r>
      <w:r w:rsidRPr="00920E8D">
        <w:rPr>
          <w:bCs/>
        </w:rPr>
        <w:t>).</w:t>
      </w:r>
    </w:p>
    <w:p w14:paraId="5CE6143F" w14:textId="6D5DA3AE" w:rsidR="005823E6" w:rsidRDefault="00AB5B88" w:rsidP="005823E6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3C5D4AA3" wp14:editId="19F24410">
            <wp:extent cx="5611008" cy="160995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ымянный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BEE2C" w14:textId="64313C40" w:rsidR="00BE6258" w:rsidRPr="000335A6" w:rsidRDefault="00BE6258" w:rsidP="00BE6258">
      <w:pPr>
        <w:ind w:firstLine="431"/>
        <w:jc w:val="center"/>
        <w:rPr>
          <w:szCs w:val="20"/>
        </w:rPr>
      </w:pPr>
      <w:bookmarkStart w:id="0" w:name="_Hlk171024635"/>
      <w:r w:rsidRPr="00384CD7">
        <w:rPr>
          <w:b/>
          <w:bCs/>
          <w:szCs w:val="20"/>
        </w:rPr>
        <w:t xml:space="preserve">Рисунок 1 </w:t>
      </w:r>
      <w:r w:rsidRPr="00384CD7">
        <w:rPr>
          <w:szCs w:val="20"/>
        </w:rPr>
        <w:t>–</w:t>
      </w:r>
      <w:bookmarkEnd w:id="0"/>
      <w:r w:rsidRPr="00384CD7">
        <w:rPr>
          <w:szCs w:val="20"/>
        </w:rPr>
        <w:t xml:space="preserve"> Структура </w:t>
      </w:r>
      <w:proofErr w:type="spellStart"/>
      <w:r w:rsidRPr="00384CD7">
        <w:rPr>
          <w:szCs w:val="20"/>
        </w:rPr>
        <w:t>лиганда</w:t>
      </w:r>
      <w:proofErr w:type="spellEnd"/>
      <w:r w:rsidR="005823E6">
        <w:rPr>
          <w:szCs w:val="20"/>
        </w:rPr>
        <w:t xml:space="preserve"> </w:t>
      </w:r>
      <w:r w:rsidR="005823E6" w:rsidRPr="005823E6">
        <w:rPr>
          <w:b/>
          <w:szCs w:val="20"/>
        </w:rPr>
        <w:t>1</w:t>
      </w:r>
      <w:r w:rsidRPr="00384CD7">
        <w:rPr>
          <w:szCs w:val="20"/>
        </w:rPr>
        <w:t xml:space="preserve"> </w:t>
      </w:r>
      <w:r w:rsidR="005823E6" w:rsidRPr="005823E6">
        <w:rPr>
          <w:szCs w:val="20"/>
        </w:rPr>
        <w:t xml:space="preserve">для </w:t>
      </w:r>
      <w:r w:rsidR="005823E6" w:rsidRPr="005823E6">
        <w:rPr>
          <w:szCs w:val="20"/>
          <w:lang w:val="en-US"/>
        </w:rPr>
        <w:t>Cu</w:t>
      </w:r>
      <w:r w:rsidR="005823E6" w:rsidRPr="005823E6">
        <w:rPr>
          <w:szCs w:val="20"/>
          <w:vertAlign w:val="superscript"/>
        </w:rPr>
        <w:t>2+</w:t>
      </w:r>
      <w:r w:rsidR="000335A6">
        <w:rPr>
          <w:szCs w:val="20"/>
        </w:rPr>
        <w:t>.</w:t>
      </w:r>
    </w:p>
    <w:p w14:paraId="3CDF40A8" w14:textId="0961F7C0" w:rsidR="00ED53DC" w:rsidRDefault="00BE6258" w:rsidP="00BE6258">
      <w:pPr>
        <w:ind w:firstLine="397"/>
        <w:jc w:val="both"/>
        <w:rPr>
          <w:bCs/>
        </w:rPr>
      </w:pPr>
      <w:r w:rsidRPr="00920E8D">
        <w:rPr>
          <w:bCs/>
        </w:rPr>
        <w:t xml:space="preserve">В ходе исследования с помощью методов спектроскопии и </w:t>
      </w:r>
      <w:proofErr w:type="spellStart"/>
      <w:r w:rsidRPr="00920E8D">
        <w:rPr>
          <w:bCs/>
        </w:rPr>
        <w:t>флуориметрии</w:t>
      </w:r>
      <w:proofErr w:type="spellEnd"/>
      <w:r w:rsidRPr="00920E8D">
        <w:rPr>
          <w:bCs/>
        </w:rPr>
        <w:t xml:space="preserve"> исследовалось комплексообразование красителя </w:t>
      </w:r>
      <w:r w:rsidRPr="00920E8D">
        <w:rPr>
          <w:b/>
          <w:bCs/>
        </w:rPr>
        <w:t>1</w:t>
      </w:r>
      <w:r w:rsidRPr="00920E8D">
        <w:rPr>
          <w:bCs/>
        </w:rPr>
        <w:t xml:space="preserve"> с различными катионами металлов (</w:t>
      </w:r>
      <w:proofErr w:type="spellStart"/>
      <w:r w:rsidRPr="00920E8D">
        <w:rPr>
          <w:bCs/>
          <w:lang w:val="en-US"/>
        </w:rPr>
        <w:t>Ca</w:t>
      </w:r>
      <w:proofErr w:type="spellEnd"/>
      <w:r w:rsidRPr="00920E8D">
        <w:rPr>
          <w:bCs/>
          <w:vertAlign w:val="superscript"/>
        </w:rPr>
        <w:t>2+</w:t>
      </w:r>
      <w:r w:rsidRPr="00920E8D">
        <w:rPr>
          <w:bCs/>
        </w:rPr>
        <w:t xml:space="preserve">, </w:t>
      </w:r>
      <w:r w:rsidRPr="00920E8D">
        <w:rPr>
          <w:bCs/>
          <w:lang w:val="en-US"/>
        </w:rPr>
        <w:t>Mg</w:t>
      </w:r>
      <w:r w:rsidRPr="00920E8D">
        <w:rPr>
          <w:bCs/>
          <w:vertAlign w:val="superscript"/>
        </w:rPr>
        <w:t>2+</w:t>
      </w:r>
      <w:r w:rsidRPr="00920E8D">
        <w:rPr>
          <w:bCs/>
        </w:rPr>
        <w:t xml:space="preserve">, </w:t>
      </w:r>
      <w:r w:rsidRPr="00920E8D">
        <w:rPr>
          <w:bCs/>
          <w:lang w:val="en-US"/>
        </w:rPr>
        <w:t>Fe</w:t>
      </w:r>
      <w:r w:rsidRPr="00920E8D">
        <w:rPr>
          <w:bCs/>
          <w:vertAlign w:val="superscript"/>
        </w:rPr>
        <w:t>2+</w:t>
      </w:r>
      <w:r w:rsidRPr="00920E8D">
        <w:rPr>
          <w:bCs/>
        </w:rPr>
        <w:t xml:space="preserve">, </w:t>
      </w:r>
      <w:r w:rsidRPr="00920E8D">
        <w:rPr>
          <w:bCs/>
          <w:lang w:val="en-US"/>
        </w:rPr>
        <w:t>Cd</w:t>
      </w:r>
      <w:r w:rsidRPr="00920E8D">
        <w:rPr>
          <w:bCs/>
          <w:vertAlign w:val="superscript"/>
        </w:rPr>
        <w:t>2+</w:t>
      </w:r>
      <w:r w:rsidRPr="00920E8D">
        <w:rPr>
          <w:bCs/>
        </w:rPr>
        <w:t xml:space="preserve">, </w:t>
      </w:r>
      <w:r w:rsidRPr="00920E8D">
        <w:rPr>
          <w:bCs/>
          <w:lang w:val="en-US"/>
        </w:rPr>
        <w:t>Ni</w:t>
      </w:r>
      <w:r w:rsidRPr="00920E8D">
        <w:rPr>
          <w:bCs/>
          <w:vertAlign w:val="superscript"/>
        </w:rPr>
        <w:t>2+</w:t>
      </w:r>
      <w:r w:rsidRPr="00920E8D">
        <w:rPr>
          <w:bCs/>
        </w:rPr>
        <w:t xml:space="preserve">, </w:t>
      </w:r>
      <w:proofErr w:type="spellStart"/>
      <w:r w:rsidRPr="00920E8D">
        <w:rPr>
          <w:bCs/>
          <w:lang w:val="en-US"/>
        </w:rPr>
        <w:t>Pb</w:t>
      </w:r>
      <w:proofErr w:type="spellEnd"/>
      <w:r w:rsidRPr="00920E8D">
        <w:rPr>
          <w:bCs/>
          <w:vertAlign w:val="superscript"/>
        </w:rPr>
        <w:t>2+</w:t>
      </w:r>
      <w:r w:rsidRPr="00920E8D">
        <w:rPr>
          <w:bCs/>
        </w:rPr>
        <w:t xml:space="preserve">, </w:t>
      </w:r>
      <w:r w:rsidRPr="00920E8D">
        <w:rPr>
          <w:bCs/>
          <w:lang w:val="en-US"/>
        </w:rPr>
        <w:t>Hg</w:t>
      </w:r>
      <w:r w:rsidRPr="00920E8D">
        <w:rPr>
          <w:bCs/>
          <w:vertAlign w:val="superscript"/>
        </w:rPr>
        <w:t>2+</w:t>
      </w:r>
      <w:r w:rsidRPr="00920E8D">
        <w:rPr>
          <w:bCs/>
        </w:rPr>
        <w:t xml:space="preserve">, </w:t>
      </w:r>
      <w:r w:rsidRPr="00920E8D">
        <w:rPr>
          <w:bCs/>
          <w:lang w:val="en-US"/>
        </w:rPr>
        <w:t>Cu</w:t>
      </w:r>
      <w:r w:rsidRPr="00920E8D">
        <w:rPr>
          <w:bCs/>
          <w:vertAlign w:val="superscript"/>
        </w:rPr>
        <w:t>2+</w:t>
      </w:r>
      <w:r w:rsidRPr="00920E8D">
        <w:rPr>
          <w:bCs/>
        </w:rPr>
        <w:t xml:space="preserve">, </w:t>
      </w:r>
      <w:r w:rsidRPr="00920E8D">
        <w:rPr>
          <w:bCs/>
          <w:lang w:val="en-US"/>
        </w:rPr>
        <w:t>Zn</w:t>
      </w:r>
      <w:r w:rsidRPr="00920E8D">
        <w:rPr>
          <w:bCs/>
          <w:vertAlign w:val="superscript"/>
        </w:rPr>
        <w:t>2+</w:t>
      </w:r>
      <w:r w:rsidR="00ED53DC">
        <w:rPr>
          <w:bCs/>
        </w:rPr>
        <w:t>,</w:t>
      </w:r>
      <w:r w:rsidRPr="00920E8D">
        <w:rPr>
          <w:bCs/>
        </w:rPr>
        <w:t xml:space="preserve"> </w:t>
      </w:r>
      <w:r w:rsidRPr="00920E8D">
        <w:rPr>
          <w:bCs/>
          <w:lang w:val="en-US"/>
        </w:rPr>
        <w:t>Ag</w:t>
      </w:r>
      <w:r w:rsidRPr="00920E8D">
        <w:rPr>
          <w:bCs/>
          <w:vertAlign w:val="superscript"/>
        </w:rPr>
        <w:t>+</w:t>
      </w:r>
      <w:r w:rsidRPr="00920E8D">
        <w:rPr>
          <w:bCs/>
        </w:rPr>
        <w:t xml:space="preserve">) в </w:t>
      </w:r>
      <w:r w:rsidR="000335A6">
        <w:rPr>
          <w:bCs/>
        </w:rPr>
        <w:t xml:space="preserve">ацетатном водном </w:t>
      </w:r>
      <w:r w:rsidRPr="00920E8D">
        <w:rPr>
          <w:bCs/>
        </w:rPr>
        <w:t xml:space="preserve">буфере при рН = </w:t>
      </w:r>
      <w:r w:rsidR="005823E6" w:rsidRPr="005823E6">
        <w:rPr>
          <w:bCs/>
        </w:rPr>
        <w:t>5.9</w:t>
      </w:r>
      <w:r w:rsidRPr="00920E8D">
        <w:rPr>
          <w:bCs/>
        </w:rPr>
        <w:t xml:space="preserve">. Результаты экспериментов показали способность </w:t>
      </w:r>
      <w:proofErr w:type="spellStart"/>
      <w:r w:rsidRPr="00920E8D">
        <w:rPr>
          <w:bCs/>
        </w:rPr>
        <w:t>хемосенсора</w:t>
      </w:r>
      <w:proofErr w:type="spellEnd"/>
      <w:r w:rsidRPr="00920E8D">
        <w:rPr>
          <w:bCs/>
        </w:rPr>
        <w:t xml:space="preserve"> </w:t>
      </w:r>
      <w:r w:rsidRPr="00920E8D">
        <w:rPr>
          <w:b/>
          <w:bCs/>
        </w:rPr>
        <w:t>1</w:t>
      </w:r>
      <w:r w:rsidRPr="00920E8D">
        <w:rPr>
          <w:bCs/>
        </w:rPr>
        <w:t xml:space="preserve"> связывать ионы меди (</w:t>
      </w:r>
      <w:proofErr w:type="spellStart"/>
      <w:r w:rsidRPr="00920E8D">
        <w:rPr>
          <w:bCs/>
        </w:rPr>
        <w:t>II</w:t>
      </w:r>
      <w:proofErr w:type="spellEnd"/>
      <w:r w:rsidRPr="00920E8D">
        <w:rPr>
          <w:bCs/>
        </w:rPr>
        <w:t xml:space="preserve">). Далее было проведено </w:t>
      </w:r>
      <w:proofErr w:type="spellStart"/>
      <w:r w:rsidRPr="00920E8D">
        <w:rPr>
          <w:bCs/>
        </w:rPr>
        <w:t>спектрофот</w:t>
      </w:r>
      <w:proofErr w:type="gramStart"/>
      <w:r w:rsidRPr="00920E8D">
        <w:rPr>
          <w:bCs/>
        </w:rPr>
        <w:t>о</w:t>
      </w:r>
      <w:proofErr w:type="spellEnd"/>
      <w:r w:rsidRPr="00920E8D">
        <w:rPr>
          <w:bCs/>
        </w:rPr>
        <w:t>-</w:t>
      </w:r>
      <w:proofErr w:type="gramEnd"/>
      <w:r w:rsidRPr="00920E8D">
        <w:rPr>
          <w:bCs/>
        </w:rPr>
        <w:t xml:space="preserve"> и </w:t>
      </w:r>
      <w:proofErr w:type="spellStart"/>
      <w:r w:rsidRPr="00920E8D">
        <w:rPr>
          <w:bCs/>
        </w:rPr>
        <w:t>спектрофлуориметрическое</w:t>
      </w:r>
      <w:proofErr w:type="spellEnd"/>
      <w:r w:rsidRPr="00920E8D">
        <w:rPr>
          <w:bCs/>
        </w:rPr>
        <w:t xml:space="preserve"> титрование </w:t>
      </w:r>
      <w:r w:rsidRPr="00920E8D">
        <w:rPr>
          <w:b/>
          <w:bCs/>
        </w:rPr>
        <w:t>1</w:t>
      </w:r>
      <w:r w:rsidRPr="00920E8D">
        <w:rPr>
          <w:bCs/>
        </w:rPr>
        <w:t xml:space="preserve"> перхлоратом ме</w:t>
      </w:r>
      <w:r w:rsidR="005823E6">
        <w:rPr>
          <w:bCs/>
        </w:rPr>
        <w:t>ди (</w:t>
      </w:r>
      <w:proofErr w:type="spellStart"/>
      <w:r w:rsidR="005823E6">
        <w:rPr>
          <w:bCs/>
        </w:rPr>
        <w:t>II</w:t>
      </w:r>
      <w:proofErr w:type="spellEnd"/>
      <w:r w:rsidR="005823E6">
        <w:rPr>
          <w:bCs/>
        </w:rPr>
        <w:t>) в водном растворе</w:t>
      </w:r>
      <w:r w:rsidRPr="00920E8D">
        <w:rPr>
          <w:bCs/>
        </w:rPr>
        <w:t>. Образующиеся</w:t>
      </w:r>
      <w:r w:rsidR="005823E6">
        <w:rPr>
          <w:bCs/>
        </w:rPr>
        <w:t xml:space="preserve"> комплексы были </w:t>
      </w:r>
      <w:proofErr w:type="spellStart"/>
      <w:r w:rsidR="005823E6">
        <w:rPr>
          <w:bCs/>
        </w:rPr>
        <w:t>нефлуоресцентными</w:t>
      </w:r>
      <w:proofErr w:type="spellEnd"/>
      <w:r w:rsidRPr="00920E8D">
        <w:rPr>
          <w:bCs/>
        </w:rPr>
        <w:t xml:space="preserve">, в спектрах испускания наблюдалось тушение эмиссионных сигналов. На основе полученных результатов можно сделать вывод, что полученный </w:t>
      </w:r>
      <w:proofErr w:type="spellStart"/>
      <w:r w:rsidRPr="00920E8D">
        <w:rPr>
          <w:bCs/>
        </w:rPr>
        <w:t>стириловый</w:t>
      </w:r>
      <w:proofErr w:type="spellEnd"/>
      <w:r w:rsidRPr="00920E8D">
        <w:rPr>
          <w:bCs/>
        </w:rPr>
        <w:t xml:space="preserve"> краситель </w:t>
      </w:r>
      <w:r w:rsidRPr="00920E8D">
        <w:rPr>
          <w:b/>
          <w:bCs/>
        </w:rPr>
        <w:t>1</w:t>
      </w:r>
      <w:r w:rsidRPr="00920E8D">
        <w:rPr>
          <w:bCs/>
        </w:rPr>
        <w:t xml:space="preserve"> способен детектировать ионы меди в водной среде и может использоваться в качестве </w:t>
      </w:r>
      <w:r>
        <w:rPr>
          <w:bCs/>
        </w:rPr>
        <w:t xml:space="preserve">компоненты </w:t>
      </w:r>
      <w:r>
        <w:rPr>
          <w:bCs/>
          <w:lang w:val="en-US"/>
        </w:rPr>
        <w:t>FRET</w:t>
      </w:r>
      <w:r w:rsidRPr="00920E8D">
        <w:rPr>
          <w:bCs/>
        </w:rPr>
        <w:t>-</w:t>
      </w:r>
      <w:r>
        <w:rPr>
          <w:bCs/>
        </w:rPr>
        <w:t>пары</w:t>
      </w:r>
      <w:r w:rsidRPr="00920E8D">
        <w:rPr>
          <w:bCs/>
        </w:rPr>
        <w:t xml:space="preserve"> </w:t>
      </w:r>
      <w:proofErr w:type="spellStart"/>
      <w:r w:rsidRPr="00920E8D">
        <w:rPr>
          <w:bCs/>
        </w:rPr>
        <w:t>бисхоромоф</w:t>
      </w:r>
      <w:r>
        <w:rPr>
          <w:bCs/>
        </w:rPr>
        <w:t>о</w:t>
      </w:r>
      <w:r w:rsidRPr="00920E8D">
        <w:rPr>
          <w:bCs/>
        </w:rPr>
        <w:t>рных</w:t>
      </w:r>
      <w:proofErr w:type="spellEnd"/>
      <w:r w:rsidRPr="00920E8D">
        <w:rPr>
          <w:bCs/>
        </w:rPr>
        <w:t xml:space="preserve"> систем для </w:t>
      </w:r>
      <w:proofErr w:type="spellStart"/>
      <w:r w:rsidRPr="00920E8D">
        <w:rPr>
          <w:bCs/>
        </w:rPr>
        <w:t>ратиометрического</w:t>
      </w:r>
      <w:proofErr w:type="spellEnd"/>
      <w:r w:rsidRPr="00920E8D">
        <w:rPr>
          <w:bCs/>
        </w:rPr>
        <w:t xml:space="preserve"> детектирования.</w:t>
      </w:r>
    </w:p>
    <w:p w14:paraId="5BC02EBE" w14:textId="5429F274" w:rsidR="00ED53DC" w:rsidRPr="0009449A" w:rsidRDefault="005B0947" w:rsidP="005B09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rStyle w:val="ae"/>
          <w:color w:val="000000"/>
        </w:rPr>
        <w:t>Работа выполнена при поддержке Российского фонда фундаментальных исследований (грант № </w:t>
      </w:r>
      <w:r>
        <w:rPr>
          <w:rStyle w:val="wmi-callto"/>
          <w:i/>
          <w:iCs/>
          <w:color w:val="000000"/>
        </w:rPr>
        <w:t>20-73-10186</w:t>
      </w:r>
      <w:r>
        <w:rPr>
          <w:rStyle w:val="ae"/>
          <w:color w:val="000000"/>
        </w:rPr>
        <w:t>-П).</w:t>
      </w:r>
      <w:bookmarkStart w:id="1" w:name="_GoBack"/>
      <w:bookmarkEnd w:id="1"/>
    </w:p>
    <w:sectPr w:rsidR="00ED53DC" w:rsidRPr="0009449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268B"/>
    <w:rsid w:val="000335A6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84CD7"/>
    <w:rsid w:val="00391C38"/>
    <w:rsid w:val="003B76D6"/>
    <w:rsid w:val="003E2601"/>
    <w:rsid w:val="003F4E6B"/>
    <w:rsid w:val="004A26A3"/>
    <w:rsid w:val="004F0EDF"/>
    <w:rsid w:val="00522BF1"/>
    <w:rsid w:val="005823E6"/>
    <w:rsid w:val="00590166"/>
    <w:rsid w:val="005B0947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B5B88"/>
    <w:rsid w:val="00AD7380"/>
    <w:rsid w:val="00B1006E"/>
    <w:rsid w:val="00BE6258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D53D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BE62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100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1006E"/>
    <w:rPr>
      <w:rFonts w:ascii="Segoe UI" w:eastAsia="Times New Roman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5B0947"/>
    <w:rPr>
      <w:i/>
      <w:iCs/>
    </w:rPr>
  </w:style>
  <w:style w:type="character" w:customStyle="1" w:styleId="wmi-callto">
    <w:name w:val="wmi-callto"/>
    <w:basedOn w:val="a0"/>
    <w:rsid w:val="005B0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BE625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100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1006E"/>
    <w:rPr>
      <w:rFonts w:ascii="Segoe UI" w:eastAsia="Times New Roman" w:hAnsi="Segoe UI" w:cs="Segoe UI"/>
      <w:sz w:val="18"/>
      <w:szCs w:val="18"/>
    </w:rPr>
  </w:style>
  <w:style w:type="character" w:styleId="ae">
    <w:name w:val="Emphasis"/>
    <w:basedOn w:val="a0"/>
    <w:uiPriority w:val="20"/>
    <w:qFormat/>
    <w:rsid w:val="005B0947"/>
    <w:rPr>
      <w:i/>
      <w:iCs/>
    </w:rPr>
  </w:style>
  <w:style w:type="character" w:customStyle="1" w:styleId="wmi-callto">
    <w:name w:val="wmi-callto"/>
    <w:basedOn w:val="a0"/>
    <w:rsid w:val="005B0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tanchik.kumane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3574E6-5836-415D-8DF2-1377E576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K270</dc:creator>
  <cp:lastModifiedBy>User</cp:lastModifiedBy>
  <cp:revision>6</cp:revision>
  <cp:lastPrinted>2025-02-13T12:08:00Z</cp:lastPrinted>
  <dcterms:created xsi:type="dcterms:W3CDTF">2025-02-13T12:07:00Z</dcterms:created>
  <dcterms:modified xsi:type="dcterms:W3CDTF">2025-02-13T12:41:00Z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