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59A0E" w14:textId="77777777" w:rsidR="007E01D7" w:rsidRDefault="00E34D69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и термическое поведение цепочечных координационных полимеров </w:t>
      </w:r>
      <w:r>
        <w:rPr>
          <w:b/>
          <w:color w:val="000000"/>
        </w:rPr>
        <w:br/>
        <w:t xml:space="preserve">на основе </w:t>
      </w:r>
      <w:r w:rsidRPr="00E34D69">
        <w:rPr>
          <w:b/>
        </w:rPr>
        <w:t>алифатических</w:t>
      </w:r>
      <w:r>
        <w:rPr>
          <w:b/>
          <w:color w:val="C9211E"/>
        </w:rPr>
        <w:t xml:space="preserve"> </w:t>
      </w:r>
      <w:r>
        <w:rPr>
          <w:b/>
          <w:color w:val="000000"/>
        </w:rPr>
        <w:t>карбоксилатов РЗЭ</w:t>
      </w:r>
    </w:p>
    <w:p w14:paraId="3853DC02" w14:textId="77777777" w:rsidR="007E01D7" w:rsidRDefault="00E34D69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Сабитова И.А., Цымбаренко Д.М.</w:t>
      </w:r>
    </w:p>
    <w:p w14:paraId="042C192A" w14:textId="77777777" w:rsidR="007E01D7" w:rsidRDefault="00E34D69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Студентка, 5 курс специалитета</w:t>
      </w:r>
    </w:p>
    <w:p w14:paraId="2ACE0AF8" w14:textId="77777777" w:rsidR="007E01D7" w:rsidRDefault="00E34D69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 xml:space="preserve">химический факультет, Москва, Россия </w:t>
      </w:r>
    </w:p>
    <w:p w14:paraId="3D87941A" w14:textId="77777777" w:rsidR="007E01D7" w:rsidRDefault="00E34D69">
      <w:pP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 xml:space="preserve">E-mail: </w:t>
      </w:r>
      <w:r>
        <w:rPr>
          <w:i/>
          <w:color w:val="000000"/>
          <w:u w:val="single"/>
          <w:lang w:val="en-US"/>
        </w:rPr>
        <w:t>i_sabitova@yahoo.com</w:t>
      </w:r>
    </w:p>
    <w:p w14:paraId="15497247" w14:textId="77777777" w:rsidR="007E01D7" w:rsidRDefault="00E34D69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Благодаря уникальным физико-химическим свойствам, комплексы редкоземельных элементов (РЗЭ) </w:t>
      </w:r>
      <w:r w:rsidRPr="00E34D69">
        <w:t>находят</w:t>
      </w:r>
      <w:r>
        <w:rPr>
          <w:color w:val="C9211E"/>
        </w:rPr>
        <w:t xml:space="preserve"> </w:t>
      </w:r>
      <w:r>
        <w:rPr>
          <w:color w:val="000000"/>
        </w:rPr>
        <w:t>широкое применение в различных сферах. В том числе, структурные изменения в координационных полимерах при варьировании температуры могут приводить к аномальным значениям КТР и, соответственно, использоваться в качестве основы для функциональных материалов.</w:t>
      </w:r>
    </w:p>
    <w:p w14:paraId="3DB1D68C" w14:textId="77777777" w:rsidR="007E01D7" w:rsidRDefault="00E34D69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Ранее </w:t>
      </w:r>
      <w:r w:rsidRPr="00E34D69">
        <w:t xml:space="preserve">были изучены </w:t>
      </w:r>
      <w:r>
        <w:rPr>
          <w:color w:val="000000"/>
        </w:rPr>
        <w:t xml:space="preserve">и охарактеризованы пивалаты РЗЭ </w:t>
      </w:r>
      <w:r>
        <w:rPr>
          <w:szCs w:val="36"/>
        </w:rPr>
        <w:t xml:space="preserve">(соли </w:t>
      </w:r>
      <w:r>
        <w:rPr>
          <w:szCs w:val="36"/>
        </w:rPr>
        <w:br/>
        <w:t xml:space="preserve">2,2-диметилпропановой кислоты, </w:t>
      </w:r>
      <w:r>
        <w:rPr>
          <w:szCs w:val="36"/>
          <w:lang w:val="en-US"/>
        </w:rPr>
        <w:t>Piv</w:t>
      </w:r>
      <w:r>
        <w:rPr>
          <w:szCs w:val="36"/>
          <w:vertAlign w:val="superscript"/>
        </w:rPr>
        <w:t>−</w:t>
      </w:r>
      <w:r>
        <w:rPr>
          <w:szCs w:val="36"/>
        </w:rPr>
        <w:t>)</w:t>
      </w:r>
      <w:r>
        <w:rPr>
          <w:color w:val="000000"/>
        </w:rPr>
        <w:t xml:space="preserve"> [</w:t>
      </w:r>
      <w:r>
        <w:rPr>
          <w:color w:val="000000"/>
          <w:lang w:val="en-US"/>
        </w:rPr>
        <w:t>Ln</w:t>
      </w:r>
      <w:r>
        <w:rPr>
          <w:color w:val="000000"/>
        </w:rPr>
        <w:t>(</w:t>
      </w:r>
      <w:r>
        <w:rPr>
          <w:color w:val="000000"/>
          <w:lang w:val="en-US"/>
        </w:rPr>
        <w:t>Piv</w:t>
      </w:r>
      <w:r>
        <w:rPr>
          <w:color w:val="000000"/>
        </w:rPr>
        <w:t>)</w:t>
      </w:r>
      <w:r>
        <w:rPr>
          <w:color w:val="000000"/>
          <w:vertAlign w:val="subscript"/>
        </w:rPr>
        <w:t>3</w:t>
      </w:r>
      <w:r>
        <w:rPr>
          <w:color w:val="000000"/>
        </w:rPr>
        <w:t>]</w:t>
      </w:r>
      <w:r>
        <w:rPr>
          <w:color w:val="000000"/>
          <w:vertAlign w:val="subscript"/>
          <w:lang w:val="en-US"/>
        </w:rPr>
        <w:t>n</w:t>
      </w:r>
      <w:r>
        <w:rPr>
          <w:color w:val="000000"/>
        </w:rPr>
        <w:t xml:space="preserve"> [1]. Для данных координационных полимеров в ряду от </w:t>
      </w:r>
      <w:r>
        <w:rPr>
          <w:color w:val="000000"/>
          <w:lang w:val="en-US"/>
        </w:rPr>
        <w:t>La</w:t>
      </w:r>
      <w:r>
        <w:rPr>
          <w:color w:val="000000"/>
        </w:rPr>
        <w:t xml:space="preserve"> к </w:t>
      </w:r>
      <w:r>
        <w:rPr>
          <w:color w:val="000000"/>
          <w:lang w:val="en-US"/>
        </w:rPr>
        <w:t>Lu</w:t>
      </w:r>
      <w:r>
        <w:rPr>
          <w:color w:val="000000"/>
        </w:rPr>
        <w:t xml:space="preserve"> изменяется тип координации </w:t>
      </w:r>
      <w:r>
        <w:rPr>
          <w:szCs w:val="36"/>
          <w:lang w:val="en-US"/>
        </w:rPr>
        <w:t>Piv</w:t>
      </w:r>
      <w:r>
        <w:rPr>
          <w:szCs w:val="36"/>
          <w:vertAlign w:val="superscript"/>
        </w:rPr>
        <w:t>−</w:t>
      </w:r>
      <w:r>
        <w:rPr>
          <w:szCs w:val="36"/>
        </w:rPr>
        <w:t xml:space="preserve">, что приводит к образованию двух структурных типов: для начала ряда характерна хелатно-мостиковая координация </w:t>
      </w:r>
      <w:r>
        <w:rPr>
          <w:szCs w:val="36"/>
          <w:lang w:val="en-US"/>
        </w:rPr>
        <w:t>Piv</w:t>
      </w:r>
      <w:r>
        <w:rPr>
          <w:szCs w:val="36"/>
          <w:vertAlign w:val="superscript"/>
        </w:rPr>
        <w:t>−</w:t>
      </w:r>
      <w:r>
        <w:rPr>
          <w:szCs w:val="36"/>
        </w:rPr>
        <w:t xml:space="preserve">, а для конца ряда – мостиковая. Однако для РЗЭ середины ряда </w:t>
      </w:r>
      <w:r>
        <w:rPr>
          <w:szCs w:val="36"/>
        </w:rPr>
        <w:br/>
        <w:t>(</w:t>
      </w:r>
      <w:r>
        <w:rPr>
          <w:szCs w:val="36"/>
          <w:lang w:val="en-US"/>
        </w:rPr>
        <w:t>Sm</w:t>
      </w:r>
      <w:r>
        <w:rPr>
          <w:szCs w:val="36"/>
        </w:rPr>
        <w:t xml:space="preserve"> – </w:t>
      </w:r>
      <w:r>
        <w:rPr>
          <w:szCs w:val="36"/>
          <w:lang w:val="en-US"/>
        </w:rPr>
        <w:t>Tb</w:t>
      </w:r>
      <w:r>
        <w:rPr>
          <w:szCs w:val="36"/>
        </w:rPr>
        <w:t xml:space="preserve">), вероятно, происходит смешение двух типов координации и, соответственно, образование рентгено-аморфного продукта. Для </w:t>
      </w:r>
      <w:r>
        <w:rPr>
          <w:color w:val="000000"/>
        </w:rPr>
        <w:t>[</w:t>
      </w:r>
      <w:r>
        <w:rPr>
          <w:color w:val="000000"/>
          <w:lang w:val="en-US"/>
        </w:rPr>
        <w:t>Ln</w:t>
      </w:r>
      <w:r>
        <w:rPr>
          <w:color w:val="000000"/>
        </w:rPr>
        <w:t>(</w:t>
      </w:r>
      <w:r>
        <w:rPr>
          <w:color w:val="000000"/>
          <w:lang w:val="en-US"/>
        </w:rPr>
        <w:t>Piv</w:t>
      </w:r>
      <w:r>
        <w:rPr>
          <w:color w:val="000000"/>
        </w:rPr>
        <w:t>)</w:t>
      </w:r>
      <w:r>
        <w:rPr>
          <w:color w:val="000000"/>
          <w:vertAlign w:val="subscript"/>
        </w:rPr>
        <w:t>3</w:t>
      </w:r>
      <w:r>
        <w:rPr>
          <w:color w:val="000000"/>
        </w:rPr>
        <w:t>]</w:t>
      </w:r>
      <w:r>
        <w:rPr>
          <w:color w:val="000000"/>
          <w:vertAlign w:val="subscript"/>
          <w:lang w:val="en-US"/>
        </w:rPr>
        <w:t>n</w:t>
      </w:r>
      <w:r>
        <w:rPr>
          <w:color w:val="000000"/>
        </w:rPr>
        <w:t xml:space="preserve"> конца ряда характерно взаимное проникновение цепей при понижении температуры до </w:t>
      </w:r>
      <w:r w:rsidRPr="00E34D69">
        <w:t xml:space="preserve">100 </w:t>
      </w:r>
      <w:r>
        <w:rPr>
          <w:color w:val="000000"/>
        </w:rPr>
        <w:t>К.</w:t>
      </w:r>
    </w:p>
    <w:p w14:paraId="6A80A102" w14:textId="77777777" w:rsidR="007E01D7" w:rsidRDefault="00E34D69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при нагревании до 200</w:t>
      </w:r>
      <w:r>
        <w:rPr>
          <w:color w:val="000000"/>
          <w:lang w:val="en-US"/>
        </w:rPr>
        <w:t> </w:t>
      </w:r>
      <w:r>
        <w:rPr>
          <w:color w:val="000000"/>
        </w:rPr>
        <w:t>°С на воздухе и до 130</w:t>
      </w:r>
      <w:r>
        <w:rPr>
          <w:color w:val="000000"/>
          <w:lang w:val="en-US"/>
        </w:rPr>
        <w:t> </w:t>
      </w:r>
      <w:r>
        <w:rPr>
          <w:color w:val="000000"/>
        </w:rPr>
        <w:t xml:space="preserve">°С в вакууме </w:t>
      </w:r>
      <w:r w:rsidRPr="00E34D69">
        <w:t>соединений</w:t>
      </w:r>
      <w:r>
        <w:rPr>
          <w:color w:val="000000"/>
        </w:rPr>
        <w:t xml:space="preserve"> [</w:t>
      </w:r>
      <w:r>
        <w:rPr>
          <w:color w:val="000000"/>
          <w:lang w:val="en-US"/>
        </w:rPr>
        <w:t>Ln</w:t>
      </w:r>
      <w:r>
        <w:rPr>
          <w:color w:val="000000"/>
          <w:vertAlign w:val="subscript"/>
        </w:rPr>
        <w:t>2</w:t>
      </w:r>
      <w:r>
        <w:rPr>
          <w:color w:val="000000"/>
        </w:rPr>
        <w:t>(</w:t>
      </w:r>
      <w:r>
        <w:rPr>
          <w:color w:val="000000"/>
          <w:lang w:val="en-US"/>
        </w:rPr>
        <w:t>Piv</w:t>
      </w:r>
      <w:r>
        <w:rPr>
          <w:color w:val="000000"/>
        </w:rPr>
        <w:t>)</w:t>
      </w:r>
      <w:r>
        <w:rPr>
          <w:color w:val="000000"/>
          <w:vertAlign w:val="subscript"/>
        </w:rPr>
        <w:t>6</w:t>
      </w:r>
      <w:r>
        <w:rPr>
          <w:color w:val="000000"/>
        </w:rPr>
        <w:t>(</w:t>
      </w:r>
      <w:r>
        <w:rPr>
          <w:color w:val="000000"/>
          <w:lang w:val="en-US"/>
        </w:rPr>
        <w:t>HPiv</w:t>
      </w:r>
      <w:r>
        <w:rPr>
          <w:color w:val="000000"/>
        </w:rPr>
        <w:t>)</w:t>
      </w:r>
      <w:r>
        <w:rPr>
          <w:color w:val="000000"/>
          <w:vertAlign w:val="subscript"/>
        </w:rPr>
        <w:t>6</w:t>
      </w:r>
      <w:r>
        <w:rPr>
          <w:color w:val="000000"/>
        </w:rPr>
        <w:t>] (</w:t>
      </w:r>
      <w:r>
        <w:rPr>
          <w:color w:val="000000"/>
          <w:lang w:val="en-US"/>
        </w:rPr>
        <w:t>Ln</w:t>
      </w:r>
      <w:r>
        <w:rPr>
          <w:color w:val="000000"/>
        </w:rPr>
        <w:t>=</w:t>
      </w:r>
      <w:r>
        <w:rPr>
          <w:color w:val="000000"/>
          <w:lang w:val="en-US"/>
        </w:rPr>
        <w:t>Sm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Eu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Gd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Tb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Eu</w:t>
      </w:r>
      <w:r>
        <w:rPr>
          <w:color w:val="000000"/>
          <w:vertAlign w:val="subscript"/>
        </w:rPr>
        <w:t>0.009</w:t>
      </w:r>
      <w:r>
        <w:rPr>
          <w:color w:val="000000"/>
          <w:lang w:val="en-US"/>
        </w:rPr>
        <w:t>Tb</w:t>
      </w:r>
      <w:r>
        <w:rPr>
          <w:color w:val="000000"/>
          <w:vertAlign w:val="subscript"/>
        </w:rPr>
        <w:t>0.991</w:t>
      </w:r>
      <w:r>
        <w:rPr>
          <w:color w:val="000000"/>
        </w:rPr>
        <w:t>)  и [</w:t>
      </w:r>
      <w:r>
        <w:rPr>
          <w:color w:val="000000"/>
          <w:lang w:val="en-US"/>
        </w:rPr>
        <w:t>Ln</w:t>
      </w:r>
      <w:r>
        <w:rPr>
          <w:color w:val="000000"/>
          <w:vertAlign w:val="subscript"/>
        </w:rPr>
        <w:t>3</w:t>
      </w:r>
      <w:r>
        <w:rPr>
          <w:color w:val="000000"/>
        </w:rPr>
        <w:t>(</w:t>
      </w:r>
      <w:r>
        <w:rPr>
          <w:color w:val="000000"/>
          <w:lang w:val="en-US"/>
        </w:rPr>
        <w:t>chc</w:t>
      </w:r>
      <w:r>
        <w:rPr>
          <w:color w:val="000000"/>
        </w:rPr>
        <w:t>)</w:t>
      </w:r>
      <w:r>
        <w:rPr>
          <w:color w:val="000000"/>
          <w:vertAlign w:val="subscript"/>
        </w:rPr>
        <w:t>9</w:t>
      </w:r>
      <w:r>
        <w:rPr>
          <w:color w:val="000000"/>
        </w:rPr>
        <w:t>(</w:t>
      </w:r>
      <w:r>
        <w:rPr>
          <w:color w:val="000000"/>
          <w:lang w:val="en-US"/>
        </w:rPr>
        <w:t>Hchc</w:t>
      </w:r>
      <w:r>
        <w:rPr>
          <w:color w:val="000000"/>
        </w:rPr>
        <w:t>)</w:t>
      </w:r>
      <w:r>
        <w:rPr>
          <w:color w:val="000000"/>
          <w:vertAlign w:val="subscript"/>
        </w:rPr>
        <w:t>0.5</w:t>
      </w:r>
      <w:r>
        <w:rPr>
          <w:color w:val="000000"/>
        </w:rPr>
        <w:t>]</w:t>
      </w:r>
      <w:r>
        <w:rPr>
          <w:color w:val="000000"/>
          <w:vertAlign w:val="subscript"/>
          <w:lang w:val="en-US"/>
        </w:rPr>
        <w:t>n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>(</w:t>
      </w:r>
      <w:r>
        <w:rPr>
          <w:color w:val="000000"/>
          <w:lang w:val="en-US"/>
        </w:rPr>
        <w:t>Ln</w:t>
      </w:r>
      <w:r>
        <w:rPr>
          <w:color w:val="000000"/>
        </w:rPr>
        <w:t xml:space="preserve"> = </w:t>
      </w:r>
      <w:r>
        <w:rPr>
          <w:color w:val="000000"/>
          <w:lang w:val="en-US"/>
        </w:rPr>
        <w:t>Dy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Ho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Er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Tm</w:t>
      </w:r>
      <w:r>
        <w:rPr>
          <w:color w:val="000000"/>
        </w:rPr>
        <w:t xml:space="preserve">; </w:t>
      </w:r>
      <w:r w:rsidRPr="00E34D69">
        <w:rPr>
          <w:lang w:val="en-US"/>
        </w:rPr>
        <w:t>Hchc</w:t>
      </w:r>
      <w:r w:rsidRPr="00E34D69">
        <w:t xml:space="preserve"> – циклогексанкарбоновая кислота</w:t>
      </w:r>
      <w:r>
        <w:rPr>
          <w:color w:val="000000"/>
        </w:rPr>
        <w:t>) были синтезированы [</w:t>
      </w:r>
      <w:r>
        <w:rPr>
          <w:color w:val="000000"/>
          <w:lang w:val="en-US"/>
        </w:rPr>
        <w:t>Ln</w:t>
      </w:r>
      <w:r>
        <w:rPr>
          <w:color w:val="000000"/>
        </w:rPr>
        <w:t>(</w:t>
      </w:r>
      <w:r>
        <w:rPr>
          <w:color w:val="000000"/>
          <w:lang w:val="en-US"/>
        </w:rPr>
        <w:t>Piv</w:t>
      </w:r>
      <w:r>
        <w:rPr>
          <w:color w:val="000000"/>
        </w:rPr>
        <w:t>)</w:t>
      </w:r>
      <w:r>
        <w:rPr>
          <w:color w:val="000000"/>
          <w:vertAlign w:val="subscript"/>
        </w:rPr>
        <w:t>3</w:t>
      </w:r>
      <w:r>
        <w:rPr>
          <w:color w:val="000000"/>
        </w:rPr>
        <w:t>]</w:t>
      </w:r>
      <w:r>
        <w:rPr>
          <w:color w:val="000000"/>
          <w:vertAlign w:val="subscript"/>
          <w:lang w:val="en-US"/>
        </w:rPr>
        <w:t>n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>и [</w:t>
      </w:r>
      <w:r>
        <w:rPr>
          <w:color w:val="000000"/>
          <w:lang w:val="en-US"/>
        </w:rPr>
        <w:t>Ln</w:t>
      </w:r>
      <w:r>
        <w:rPr>
          <w:color w:val="000000"/>
        </w:rPr>
        <w:t>(</w:t>
      </w:r>
      <w:r>
        <w:rPr>
          <w:color w:val="000000"/>
          <w:lang w:val="en-US"/>
        </w:rPr>
        <w:t>chc</w:t>
      </w:r>
      <w:r>
        <w:rPr>
          <w:color w:val="000000"/>
        </w:rPr>
        <w:t>)</w:t>
      </w:r>
      <w:r>
        <w:rPr>
          <w:color w:val="000000"/>
          <w:vertAlign w:val="subscript"/>
        </w:rPr>
        <w:t>3</w:t>
      </w:r>
      <w:r>
        <w:rPr>
          <w:color w:val="000000"/>
        </w:rPr>
        <w:t>]</w:t>
      </w:r>
      <w:r>
        <w:rPr>
          <w:color w:val="000000"/>
          <w:vertAlign w:val="subscript"/>
          <w:lang w:val="en-US"/>
        </w:rPr>
        <w:t>n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>новых структурных типов. Целью данной работы является исследование состава, структуры и термического поведения полученных координационных полимеров. Состав веществ подтверждали методами РФА, ТГА, МС-ИСП, ИК спектроскопией. Для полученных [</w:t>
      </w:r>
      <w:r>
        <w:rPr>
          <w:color w:val="000000"/>
          <w:lang w:val="en-US"/>
        </w:rPr>
        <w:t>Gd</w:t>
      </w:r>
      <w:r>
        <w:rPr>
          <w:color w:val="000000"/>
        </w:rPr>
        <w:t>(</w:t>
      </w:r>
      <w:r>
        <w:rPr>
          <w:color w:val="000000"/>
          <w:lang w:val="en-US"/>
        </w:rPr>
        <w:t>Piv</w:t>
      </w:r>
      <w:r>
        <w:rPr>
          <w:color w:val="000000"/>
        </w:rPr>
        <w:t>)</w:t>
      </w:r>
      <w:r>
        <w:rPr>
          <w:color w:val="000000"/>
          <w:vertAlign w:val="subscript"/>
        </w:rPr>
        <w:t>3</w:t>
      </w:r>
      <w:r>
        <w:rPr>
          <w:color w:val="000000"/>
        </w:rPr>
        <w:t>]</w:t>
      </w:r>
      <w:r>
        <w:rPr>
          <w:color w:val="000000"/>
          <w:vertAlign w:val="subscript"/>
          <w:lang w:val="en-US"/>
        </w:rPr>
        <w:t>n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>и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>[</w:t>
      </w:r>
      <w:r>
        <w:rPr>
          <w:color w:val="000000"/>
          <w:lang w:val="en-US"/>
        </w:rPr>
        <w:t>Tm</w:t>
      </w:r>
      <w:r>
        <w:rPr>
          <w:color w:val="000000"/>
        </w:rPr>
        <w:t>(</w:t>
      </w:r>
      <w:r>
        <w:rPr>
          <w:color w:val="000000"/>
          <w:lang w:val="en-US"/>
        </w:rPr>
        <w:t>chc</w:t>
      </w:r>
      <w:r>
        <w:rPr>
          <w:color w:val="000000"/>
        </w:rPr>
        <w:t>)</w:t>
      </w:r>
      <w:r>
        <w:rPr>
          <w:color w:val="000000"/>
          <w:vertAlign w:val="subscript"/>
        </w:rPr>
        <w:t>3</w:t>
      </w:r>
      <w:r>
        <w:rPr>
          <w:color w:val="000000"/>
        </w:rPr>
        <w:t>]</w:t>
      </w:r>
      <w:r>
        <w:rPr>
          <w:color w:val="000000"/>
          <w:vertAlign w:val="subscript"/>
          <w:lang w:val="en-US"/>
        </w:rPr>
        <w:t>n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>были проведены индицирования порошковых рентгенограмм и определены параметры элементарной ячейки.</w:t>
      </w:r>
    </w:p>
    <w:p w14:paraId="63ADB5FF" w14:textId="77777777" w:rsidR="007E01D7" w:rsidRDefault="00E34D69">
      <w:pPr>
        <w:shd w:val="clear" w:color="auto" w:fill="FFFFFF"/>
        <w:ind w:firstLine="397"/>
        <w:jc w:val="both"/>
        <w:rPr>
          <w:szCs w:val="36"/>
        </w:rPr>
      </w:pPr>
      <w:r>
        <w:rPr>
          <w:color w:val="000000"/>
        </w:rPr>
        <w:t>Полученные [</w:t>
      </w:r>
      <w:r>
        <w:rPr>
          <w:color w:val="000000"/>
          <w:lang w:val="en-US"/>
        </w:rPr>
        <w:t>Ln</w:t>
      </w:r>
      <w:r>
        <w:rPr>
          <w:color w:val="000000"/>
        </w:rPr>
        <w:t>(</w:t>
      </w:r>
      <w:r>
        <w:rPr>
          <w:color w:val="000000"/>
          <w:lang w:val="en-US"/>
        </w:rPr>
        <w:t>Piv</w:t>
      </w:r>
      <w:r>
        <w:rPr>
          <w:color w:val="000000"/>
        </w:rPr>
        <w:t>)</w:t>
      </w:r>
      <w:r>
        <w:rPr>
          <w:color w:val="000000"/>
          <w:vertAlign w:val="subscript"/>
        </w:rPr>
        <w:t>3</w:t>
      </w:r>
      <w:r>
        <w:rPr>
          <w:color w:val="000000"/>
        </w:rPr>
        <w:t>]</w:t>
      </w:r>
      <w:r>
        <w:rPr>
          <w:color w:val="000000"/>
          <w:vertAlign w:val="subscript"/>
          <w:lang w:val="en-US"/>
        </w:rPr>
        <w:t>n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>при нагревании устойчивы на воздухе до 300</w:t>
      </w:r>
      <w:r>
        <w:rPr>
          <w:color w:val="000000"/>
          <w:lang w:val="en-US"/>
        </w:rPr>
        <w:t> </w:t>
      </w:r>
      <w:r>
        <w:rPr>
          <w:color w:val="000000"/>
        </w:rPr>
        <w:t xml:space="preserve">°С и разлагаются при дальнейшем нагревании до оксидов соответствующих РЗЭ. На ИК спектрах соединений, полученных при нагревании на воздухе, присутствуют полосы поглощения, соответствующие хелатно-мостиковой и мостиковой координации </w:t>
      </w:r>
      <w:r>
        <w:rPr>
          <w:szCs w:val="36"/>
          <w:lang w:val="en-US"/>
        </w:rPr>
        <w:t>Piv</w:t>
      </w:r>
      <w:r>
        <w:rPr>
          <w:szCs w:val="36"/>
          <w:vertAlign w:val="superscript"/>
        </w:rPr>
        <w:t>−</w:t>
      </w:r>
      <w:r>
        <w:rPr>
          <w:szCs w:val="36"/>
        </w:rPr>
        <w:t>.</w:t>
      </w:r>
    </w:p>
    <w:p w14:paraId="1A2BE389" w14:textId="77777777" w:rsidR="007E01D7" w:rsidRDefault="00E34D69">
      <w:pPr>
        <w:shd w:val="clear" w:color="auto" w:fill="FFFFFF"/>
        <w:ind w:firstLine="397"/>
        <w:jc w:val="both"/>
        <w:rPr>
          <w:szCs w:val="36"/>
        </w:rPr>
      </w:pPr>
      <w:r>
        <w:rPr>
          <w:szCs w:val="36"/>
        </w:rPr>
        <w:t xml:space="preserve">Синтезированные при нагревании на воздухе и в вакууме комплексы </w:t>
      </w:r>
      <w:r>
        <w:rPr>
          <w:color w:val="000000"/>
        </w:rPr>
        <w:t>[</w:t>
      </w:r>
      <w:r>
        <w:rPr>
          <w:color w:val="000000"/>
          <w:lang w:val="en-US"/>
        </w:rPr>
        <w:t>Ln</w:t>
      </w:r>
      <w:r>
        <w:rPr>
          <w:color w:val="000000"/>
        </w:rPr>
        <w:t>(</w:t>
      </w:r>
      <w:r>
        <w:rPr>
          <w:color w:val="000000"/>
          <w:lang w:val="en-US"/>
        </w:rPr>
        <w:t>chc</w:t>
      </w:r>
      <w:r>
        <w:rPr>
          <w:color w:val="000000"/>
        </w:rPr>
        <w:t>)</w:t>
      </w:r>
      <w:r>
        <w:rPr>
          <w:color w:val="000000"/>
          <w:vertAlign w:val="subscript"/>
        </w:rPr>
        <w:t>3</w:t>
      </w:r>
      <w:r>
        <w:rPr>
          <w:color w:val="000000"/>
        </w:rPr>
        <w:t>]</w:t>
      </w:r>
      <w:r>
        <w:rPr>
          <w:color w:val="000000"/>
          <w:vertAlign w:val="subscript"/>
          <w:lang w:val="en-US"/>
        </w:rPr>
        <w:t>n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>образуют два новых структурных типа. Соединения устойчивы до 250</w:t>
      </w:r>
      <w:r>
        <w:rPr>
          <w:color w:val="000000"/>
          <w:lang w:val="en-US"/>
        </w:rPr>
        <w:t> </w:t>
      </w:r>
      <w:r>
        <w:rPr>
          <w:color w:val="000000"/>
        </w:rPr>
        <w:t>°С при нагревании на воздухе, а затем также разлагаются до оксидов РЗЭ. Полосы поглощения на ИК спектрах координационных полимеров совпадают для двух структурных типов.</w:t>
      </w:r>
    </w:p>
    <w:p w14:paraId="3832C750" w14:textId="680B44D2" w:rsidR="007E01D7" w:rsidRDefault="00E34D69">
      <w:pPr>
        <w:shd w:val="clear" w:color="auto" w:fill="FFFFFF"/>
        <w:ind w:firstLine="397"/>
        <w:jc w:val="both"/>
        <w:rPr>
          <w:color w:val="000000"/>
        </w:rPr>
      </w:pPr>
      <w:r>
        <w:rPr>
          <w:szCs w:val="36"/>
        </w:rPr>
        <w:t xml:space="preserve">Термическое поведение в температурном диапазоне 300-100 К изучали с помощью политермических рентгеновских экспериментов с шагом по температуре в 10 К. </w:t>
      </w:r>
      <w:r>
        <w:rPr>
          <w:color w:val="000000"/>
        </w:rPr>
        <w:t>[</w:t>
      </w:r>
      <w:r>
        <w:rPr>
          <w:color w:val="000000"/>
          <w:lang w:val="en-US"/>
        </w:rPr>
        <w:t>Ln</w:t>
      </w:r>
      <w:r>
        <w:rPr>
          <w:color w:val="000000"/>
        </w:rPr>
        <w:t>(</w:t>
      </w:r>
      <w:r>
        <w:rPr>
          <w:color w:val="000000"/>
          <w:lang w:val="en-US"/>
        </w:rPr>
        <w:t>Piv</w:t>
      </w:r>
      <w:r>
        <w:rPr>
          <w:color w:val="000000"/>
        </w:rPr>
        <w:t>)</w:t>
      </w:r>
      <w:r>
        <w:rPr>
          <w:color w:val="000000"/>
          <w:vertAlign w:val="subscript"/>
        </w:rPr>
        <w:t>3</w:t>
      </w:r>
      <w:r>
        <w:rPr>
          <w:color w:val="000000"/>
        </w:rPr>
        <w:t>]</w:t>
      </w:r>
      <w:r>
        <w:rPr>
          <w:color w:val="000000"/>
          <w:vertAlign w:val="subscript"/>
          <w:lang w:val="en-US"/>
        </w:rPr>
        <w:t>n</w:t>
      </w:r>
      <w:r>
        <w:rPr>
          <w:color w:val="000000"/>
        </w:rPr>
        <w:t>, полученные на воздухе, демонстрируют линейное изменение параметров элементарной ячейки, в то время как синтезированные в вакууме пивалаты при охлаждении необратимо становятся рентгено-аморфными. Для полученных на воздухе и в вакууме [</w:t>
      </w:r>
      <w:r>
        <w:rPr>
          <w:color w:val="000000"/>
          <w:lang w:val="en-US"/>
        </w:rPr>
        <w:t>Ln</w:t>
      </w:r>
      <w:r>
        <w:rPr>
          <w:color w:val="000000"/>
        </w:rPr>
        <w:t>(</w:t>
      </w:r>
      <w:r>
        <w:rPr>
          <w:color w:val="000000"/>
          <w:lang w:val="en-US"/>
        </w:rPr>
        <w:t>chc</w:t>
      </w:r>
      <w:r>
        <w:rPr>
          <w:color w:val="000000"/>
        </w:rPr>
        <w:t>)</w:t>
      </w:r>
      <w:r>
        <w:rPr>
          <w:color w:val="000000"/>
          <w:vertAlign w:val="subscript"/>
        </w:rPr>
        <w:t>3</w:t>
      </w:r>
      <w:r>
        <w:rPr>
          <w:color w:val="000000"/>
        </w:rPr>
        <w:t>]</w:t>
      </w:r>
      <w:r>
        <w:rPr>
          <w:color w:val="000000"/>
          <w:vertAlign w:val="subscript"/>
          <w:lang w:val="en-US"/>
        </w:rPr>
        <w:t>n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>при охлаждении наблюдается линейное изменение параметров.</w:t>
      </w:r>
    </w:p>
    <w:p w14:paraId="0F1523DA" w14:textId="77777777" w:rsidR="007E01D7" w:rsidRPr="00E34D69" w:rsidRDefault="00E34D69">
      <w:pPr>
        <w:shd w:val="clear" w:color="auto" w:fill="FFFFFF"/>
        <w:ind w:firstLine="397"/>
        <w:jc w:val="both"/>
        <w:rPr>
          <w:i/>
          <w:iCs/>
        </w:rPr>
      </w:pPr>
      <w:r>
        <w:rPr>
          <w:i/>
          <w:iCs/>
          <w:color w:val="000000"/>
        </w:rPr>
        <w:t xml:space="preserve">Работа выполнена при поддержке гранта </w:t>
      </w:r>
      <w:r w:rsidRPr="00E34D69">
        <w:rPr>
          <w:i/>
          <w:iCs/>
        </w:rPr>
        <w:t>РНФ №22-73-10089.</w:t>
      </w:r>
    </w:p>
    <w:p w14:paraId="390D293A" w14:textId="77777777" w:rsidR="007E01D7" w:rsidRPr="00E34D69" w:rsidRDefault="00E34D69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8F37767" w14:textId="77777777" w:rsidR="007E01D7" w:rsidRPr="00E34D69" w:rsidRDefault="00E34D69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>
        <w:rPr>
          <w:szCs w:val="28"/>
          <w:lang w:val="en-US"/>
        </w:rPr>
        <w:t>D. Tsymbarenko, I. Martynova, et al. One-dimensional coordination polymers of whole row rare earth tris-</w:t>
      </w:r>
      <w:r>
        <w:rPr>
          <w:color w:val="000000"/>
          <w:lang w:val="en-US"/>
        </w:rPr>
        <w:t>pivalates // J. Solid State Chem. 2018. Vol. 258. P. 876-884</w:t>
      </w:r>
    </w:p>
    <w:sectPr w:rsidR="007E01D7" w:rsidRPr="00E34D69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1D7"/>
    <w:rsid w:val="000D1DF6"/>
    <w:rsid w:val="007E01D7"/>
    <w:rsid w:val="00AE1F97"/>
    <w:rsid w:val="00E3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8BD3"/>
  <w15:docId w15:val="{AC3BEA8E-0D7C-4DE5-A688-9E28FF1D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locked/>
    <w:rsid w:val="004A26A3"/>
  </w:style>
  <w:style w:type="character" w:styleId="a4">
    <w:name w:val="Placeholder Text"/>
    <w:basedOn w:val="a0"/>
    <w:uiPriority w:val="99"/>
    <w:semiHidden/>
    <w:qFormat/>
    <w:rsid w:val="00E22189"/>
    <w:rPr>
      <w:color w:val="808080"/>
    </w:rPr>
  </w:style>
  <w:style w:type="character" w:customStyle="1" w:styleId="-">
    <w:name w:val="Интернет-ссылка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character" w:customStyle="1" w:styleId="a5">
    <w:name w:val="Текст выноски Знак"/>
    <w:basedOn w:val="a0"/>
    <w:uiPriority w:val="99"/>
    <w:semiHidden/>
    <w:qFormat/>
    <w:rsid w:val="005C2DF3"/>
    <w:rPr>
      <w:rFonts w:ascii="Tahoma" w:eastAsia="Times New Roman" w:hAnsi="Tahoma" w:cs="Tahoma"/>
      <w:sz w:val="16"/>
      <w:szCs w:val="16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List Paragraph"/>
    <w:basedOn w:val="a"/>
    <w:uiPriority w:val="34"/>
    <w:qFormat/>
    <w:rsid w:val="00106375"/>
    <w:pPr>
      <w:ind w:left="720"/>
      <w:contextualSpacing/>
    </w:pPr>
  </w:style>
  <w:style w:type="paragraph" w:styleId="ad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paragraph" w:styleId="ae">
    <w:name w:val="Revision"/>
    <w:uiPriority w:val="99"/>
    <w:semiHidden/>
    <w:qFormat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uiPriority w:val="99"/>
    <w:semiHidden/>
    <w:unhideWhenUsed/>
    <w:qFormat/>
    <w:rsid w:val="005C2DF3"/>
    <w:rPr>
      <w:rFonts w:ascii="Tahoma" w:hAnsi="Tahoma" w:cs="Tahoma"/>
      <w:sz w:val="16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420145-73A1-499F-9B8D-3A7CE3F0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479</Words>
  <Characters>2731</Characters>
  <Application>Microsoft Office Word</Application>
  <DocSecurity>0</DocSecurity>
  <Lines>22</Lines>
  <Paragraphs>6</Paragraphs>
  <ScaleCrop>false</ScaleCrop>
  <Company>Lomonosov MSU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Сабитова</dc:creator>
  <dc:description/>
  <cp:lastModifiedBy>Мария Скрыпник</cp:lastModifiedBy>
  <cp:revision>12</cp:revision>
  <dcterms:created xsi:type="dcterms:W3CDTF">2025-03-06T19:12:00Z</dcterms:created>
  <dcterms:modified xsi:type="dcterms:W3CDTF">2025-03-14T14:10:00Z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