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10B8" w14:textId="77777777" w:rsidR="00050C62" w:rsidRDefault="00000000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Синтез и исследование электрохимических свойств </w:t>
      </w:r>
      <w:r>
        <w:rPr>
          <w:b/>
          <w:bCs/>
          <w:lang w:val="en-GB"/>
        </w:rPr>
        <w:t>Na</w:t>
      </w:r>
      <w:r>
        <w:rPr>
          <w:b/>
          <w:bCs/>
          <w:vertAlign w:val="subscript"/>
        </w:rPr>
        <w:t>1-</w:t>
      </w:r>
      <w:r>
        <w:rPr>
          <w:b/>
          <w:bCs/>
          <w:vertAlign w:val="subscript"/>
          <w:lang w:val="en-GB"/>
        </w:rPr>
        <w:t>x</w:t>
      </w:r>
      <w:r>
        <w:rPr>
          <w:b/>
          <w:bCs/>
          <w:lang w:val="en-GB"/>
        </w:rPr>
        <w:t>K</w:t>
      </w:r>
      <w:r>
        <w:rPr>
          <w:b/>
          <w:bCs/>
          <w:vertAlign w:val="subscript"/>
          <w:lang w:val="en-GB"/>
        </w:rPr>
        <w:t>x</w:t>
      </w:r>
      <w:r>
        <w:rPr>
          <w:b/>
          <w:bCs/>
          <w:lang w:val="en-GB"/>
        </w:rPr>
        <w:t>V</w:t>
      </w:r>
      <w:r>
        <w:rPr>
          <w:b/>
          <w:bCs/>
          <w:vertAlign w:val="subscript"/>
        </w:rPr>
        <w:t>1-</w:t>
      </w:r>
      <w:r>
        <w:rPr>
          <w:b/>
          <w:bCs/>
          <w:vertAlign w:val="subscript"/>
          <w:lang w:val="en-GB"/>
        </w:rPr>
        <w:t>y</w:t>
      </w:r>
      <w:r>
        <w:rPr>
          <w:b/>
          <w:bCs/>
          <w:lang w:val="en-GB"/>
        </w:rPr>
        <w:t>M</w:t>
      </w:r>
      <w:r>
        <w:rPr>
          <w:b/>
          <w:bCs/>
          <w:vertAlign w:val="subscript"/>
          <w:lang w:val="en-GB"/>
        </w:rPr>
        <w:t>y</w:t>
      </w:r>
      <w:r>
        <w:rPr>
          <w:b/>
          <w:bCs/>
          <w:lang w:val="en-GB"/>
        </w:rPr>
        <w:t>PO</w:t>
      </w:r>
      <w:r>
        <w:rPr>
          <w:b/>
          <w:bCs/>
          <w:vertAlign w:val="subscript"/>
        </w:rPr>
        <w:t>4</w:t>
      </w:r>
      <w:r>
        <w:rPr>
          <w:b/>
          <w:bCs/>
          <w:lang w:val="en-GB"/>
        </w:rPr>
        <w:t>F</w:t>
      </w:r>
      <w:r>
        <w:rPr>
          <w:b/>
          <w:bCs/>
        </w:rPr>
        <w:t xml:space="preserve"> (</w:t>
      </w:r>
      <w:r>
        <w:rPr>
          <w:b/>
          <w:bCs/>
          <w:lang w:val="en-GB"/>
        </w:rPr>
        <w:t>M</w:t>
      </w:r>
      <w:r>
        <w:rPr>
          <w:b/>
          <w:bCs/>
        </w:rPr>
        <w:t xml:space="preserve"> = </w:t>
      </w:r>
      <w:r>
        <w:rPr>
          <w:b/>
          <w:bCs/>
          <w:lang w:val="en-GB"/>
        </w:rPr>
        <w:t>Cr</w:t>
      </w:r>
      <w:r>
        <w:rPr>
          <w:b/>
          <w:bCs/>
        </w:rPr>
        <w:t xml:space="preserve">, </w:t>
      </w:r>
      <w:r>
        <w:rPr>
          <w:b/>
          <w:bCs/>
          <w:lang w:val="en-GB"/>
        </w:rPr>
        <w:t>Ti</w:t>
      </w:r>
      <w:r>
        <w:rPr>
          <w:b/>
          <w:bCs/>
        </w:rPr>
        <w:t>)</w:t>
      </w:r>
      <w:r>
        <w:rPr>
          <w:b/>
          <w:color w:val="000000"/>
        </w:rPr>
        <w:t xml:space="preserve"> в качестве катодных материалов для натрий-ионных аккумуляторов</w:t>
      </w:r>
    </w:p>
    <w:p w14:paraId="7790B763" w14:textId="77777777" w:rsidR="00050C62" w:rsidRDefault="00000000">
      <w:pPr>
        <w:tabs>
          <w:tab w:val="left" w:pos="567"/>
        </w:tabs>
        <w:jc w:val="center"/>
        <w:rPr>
          <w:i/>
          <w:iCs/>
        </w:rPr>
      </w:pPr>
      <w:r>
        <w:rPr>
          <w:b/>
          <w:bCs/>
          <w:i/>
          <w:iCs/>
        </w:rPr>
        <w:t>Мацуев Е.А.</w:t>
      </w:r>
      <w:r>
        <w:rPr>
          <w:b/>
          <w:bCs/>
          <w:i/>
          <w:iCs/>
          <w:vertAlign w:val="superscript"/>
        </w:rPr>
        <w:t>1</w:t>
      </w:r>
      <w:r>
        <w:rPr>
          <w:b/>
          <w:bCs/>
          <w:i/>
          <w:iCs/>
        </w:rPr>
        <w:t>, Шраер С.Д.</w:t>
      </w:r>
      <w:r>
        <w:rPr>
          <w:b/>
          <w:bCs/>
          <w:i/>
          <w:iCs/>
          <w:vertAlign w:val="superscript"/>
        </w:rPr>
        <w:t>2</w:t>
      </w:r>
      <w:r>
        <w:rPr>
          <w:b/>
          <w:bCs/>
          <w:i/>
          <w:iCs/>
        </w:rPr>
        <w:t>, Федотов С.С.</w:t>
      </w:r>
      <w:r>
        <w:rPr>
          <w:b/>
          <w:bCs/>
          <w:i/>
          <w:iCs/>
          <w:vertAlign w:val="superscript"/>
        </w:rPr>
        <w:t>2</w:t>
      </w:r>
    </w:p>
    <w:p w14:paraId="00000003" w14:textId="77777777" w:rsidR="00050C62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00000005" w14:textId="77777777" w:rsidR="00050C62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 xml:space="preserve">химический факультет, </w:t>
      </w:r>
      <w:r>
        <w:rPr>
          <w:i/>
        </w:rPr>
        <w:t>119991</w:t>
      </w:r>
      <w:r>
        <w:rPr>
          <w:i/>
          <w:color w:val="000000"/>
        </w:rPr>
        <w:t xml:space="preserve"> Москва, Россия</w:t>
      </w:r>
    </w:p>
    <w:p w14:paraId="1CD1D96C" w14:textId="77777777" w:rsidR="00050C62" w:rsidRDefault="00000000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Центр энергетических технологий Сколтех, Сколковский институт науки и технологий, 121205 Москва, Российская Федерация</w:t>
      </w:r>
    </w:p>
    <w:p w14:paraId="693A2C60" w14:textId="77777777" w:rsidR="00050C62" w:rsidRDefault="00000000">
      <w:pPr>
        <w:numPr>
          <w:ilvl w:val="0"/>
          <w:numId w:val="1"/>
        </w:numPr>
        <w:shd w:val="clear" w:color="auto" w:fill="FFFFFF"/>
        <w:ind w:firstLine="397"/>
        <w:jc w:val="center"/>
        <w:rPr>
          <w:i/>
          <w:color w:val="000000"/>
          <w:u w:val="single"/>
        </w:rPr>
      </w:pPr>
      <w:r>
        <w:rPr>
          <w:i/>
          <w:color w:val="000000"/>
        </w:rPr>
        <w:t xml:space="preserve">mail: </w:t>
      </w:r>
      <w:hyperlink r:id="rId6">
        <w:r>
          <w:rPr>
            <w:i/>
            <w:color w:val="000000"/>
            <w:u w:val="single"/>
            <w:lang w:val="en-US"/>
          </w:rPr>
          <w:t>matsueve2015</w:t>
        </w:r>
        <w:r>
          <w:rPr>
            <w:i/>
            <w:color w:val="000000"/>
            <w:u w:val="single"/>
          </w:rPr>
          <w:t>@</w:t>
        </w:r>
        <w:r>
          <w:rPr>
            <w:i/>
            <w:color w:val="000000"/>
            <w:u w:val="single"/>
            <w:lang w:val="en-US"/>
          </w:rPr>
          <w:t>gmail</w:t>
        </w:r>
        <w:r>
          <w:rPr>
            <w:i/>
            <w:color w:val="000000"/>
            <w:u w:val="single"/>
          </w:rPr>
          <w:t>.</w:t>
        </w:r>
        <w:r>
          <w:rPr>
            <w:i/>
            <w:color w:val="000000"/>
            <w:u w:val="single"/>
            <w:lang w:val="en-US"/>
          </w:rPr>
          <w:t>com</w:t>
        </w:r>
      </w:hyperlink>
    </w:p>
    <w:p w14:paraId="537289D7" w14:textId="22D42A74" w:rsidR="00050C62" w:rsidRPr="009B0DF0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последнее десятилетие фторсодержащие полианионные материалы на основе ванадия получили широкое признание в качестве высокоэнергетических положительных электродов для натрий-ионных аккумуляторов. Катодный материал со структурой типа KTiOPO</w:t>
      </w:r>
      <w:r>
        <w:rPr>
          <w:color w:val="000000"/>
          <w:vertAlign w:val="subscript"/>
        </w:rPr>
        <w:t xml:space="preserve">4 </w:t>
      </w:r>
      <w:r>
        <w:rPr>
          <w:color w:val="000000"/>
        </w:rPr>
        <w:t>(KTP) и общей формулой NaVPO</w:t>
      </w:r>
      <w:r>
        <w:rPr>
          <w:color w:val="000000"/>
          <w:vertAlign w:val="subscript"/>
        </w:rPr>
        <w:t>4</w:t>
      </w:r>
      <w:r>
        <w:rPr>
          <w:color w:val="000000"/>
        </w:rPr>
        <w:t>F, недавно разработанный в нашей группе, является одним из наиболее привлекательных, благодаря высокой практической емкости (136 мАч*г</w:t>
      </w:r>
      <w:r>
        <w:rPr>
          <w:color w:val="000000"/>
          <w:vertAlign w:val="superscript"/>
        </w:rPr>
        <w:t>-1</w:t>
      </w:r>
      <w:r>
        <w:rPr>
          <w:color w:val="000000"/>
        </w:rPr>
        <w:t xml:space="preserve"> при 0.1 </w:t>
      </w:r>
      <w:r w:rsidR="009B0DF0" w:rsidRPr="009B0DF0">
        <w:rPr>
          <w:rStyle w:val="Char"/>
          <w:vertAlign w:val="superscript"/>
        </w:rPr>
        <w:t>о</w:t>
      </w:r>
      <w:r>
        <w:rPr>
          <w:color w:val="000000"/>
        </w:rPr>
        <w:t>С) и среднему рабочему напряжению (4.0 В) [1]. Однако он обладает рядом недостатков, с которыми можно справиться путем прямых химических модификаций. Известно, что</w:t>
      </w:r>
      <w:r w:rsidRPr="009B0DF0">
        <w:rPr>
          <w:color w:val="000000"/>
        </w:rPr>
        <w:t xml:space="preserve"> частичное</w:t>
      </w:r>
      <w:r>
        <w:rPr>
          <w:color w:val="000000"/>
        </w:rPr>
        <w:t xml:space="preserve"> замещение</w:t>
      </w:r>
      <w:r w:rsidRPr="009B0DF0">
        <w:rPr>
          <w:color w:val="000000"/>
        </w:rPr>
        <w:t xml:space="preserve"> щелочн</w:t>
      </w:r>
      <w:r>
        <w:rPr>
          <w:color w:val="000000"/>
        </w:rPr>
        <w:t>ого</w:t>
      </w:r>
      <w:r w:rsidRPr="009B0DF0">
        <w:rPr>
          <w:color w:val="000000"/>
        </w:rPr>
        <w:t xml:space="preserve"> металл</w:t>
      </w:r>
      <w:r>
        <w:rPr>
          <w:color w:val="000000"/>
        </w:rPr>
        <w:t>а</w:t>
      </w:r>
      <w:r w:rsidRPr="009B0DF0">
        <w:rPr>
          <w:color w:val="000000"/>
        </w:rPr>
        <w:t xml:space="preserve"> оказывает положительное влияние на термическую устойчивость аналогичных материалов[</w:t>
      </w:r>
      <w:r>
        <w:rPr>
          <w:color w:val="000000"/>
        </w:rPr>
        <w:t>2</w:t>
      </w:r>
      <w:r w:rsidRPr="009B0DF0">
        <w:rPr>
          <w:color w:val="000000"/>
        </w:rPr>
        <w:t>].</w:t>
      </w:r>
      <w:r>
        <w:rPr>
          <w:color w:val="000000"/>
        </w:rPr>
        <w:t xml:space="preserve"> </w:t>
      </w:r>
      <w:r w:rsidRPr="009B0DF0">
        <w:rPr>
          <w:color w:val="000000"/>
        </w:rPr>
        <w:t xml:space="preserve">Также отмечается </w:t>
      </w:r>
      <w:r>
        <w:rPr>
          <w:color w:val="000000"/>
        </w:rPr>
        <w:t>подавлени</w:t>
      </w:r>
      <w:r w:rsidRPr="009B0DF0">
        <w:rPr>
          <w:color w:val="000000"/>
        </w:rPr>
        <w:t>е</w:t>
      </w:r>
      <w:r>
        <w:rPr>
          <w:color w:val="000000"/>
        </w:rPr>
        <w:t xml:space="preserve"> деградации при длительном циклировании</w:t>
      </w:r>
      <w:r w:rsidRPr="009B0DF0">
        <w:rPr>
          <w:color w:val="000000"/>
        </w:rPr>
        <w:t xml:space="preserve"> </w:t>
      </w:r>
      <w:r>
        <w:rPr>
          <w:color w:val="000000"/>
          <w:lang w:val="en-US"/>
        </w:rPr>
        <w:t>Cr</w:t>
      </w:r>
      <w:r w:rsidRPr="009B0DF0">
        <w:rPr>
          <w:color w:val="000000"/>
        </w:rPr>
        <w:t xml:space="preserve">- и </w:t>
      </w:r>
      <w:r>
        <w:rPr>
          <w:color w:val="000000"/>
          <w:lang w:val="en-US"/>
        </w:rPr>
        <w:t>Ti</w:t>
      </w:r>
      <w:r w:rsidRPr="009B0DF0">
        <w:rPr>
          <w:color w:val="000000"/>
        </w:rPr>
        <w:t>-замещенных катодных материалов на основе фосфатов ванадия</w:t>
      </w:r>
      <w:r>
        <w:rPr>
          <w:color w:val="000000"/>
        </w:rPr>
        <w:t xml:space="preserve"> </w:t>
      </w:r>
      <w:r w:rsidRPr="009B0DF0">
        <w:rPr>
          <w:color w:val="000000"/>
        </w:rPr>
        <w:t>[</w:t>
      </w:r>
      <w:r>
        <w:rPr>
          <w:color w:val="000000"/>
        </w:rPr>
        <w:t>3</w:t>
      </w:r>
      <w:r w:rsidRPr="009B0DF0">
        <w:rPr>
          <w:color w:val="000000"/>
        </w:rPr>
        <w:t>,</w:t>
      </w:r>
      <w:r>
        <w:rPr>
          <w:color w:val="000000"/>
        </w:rPr>
        <w:t>4</w:t>
      </w:r>
      <w:r w:rsidRPr="009B0DF0">
        <w:rPr>
          <w:color w:val="000000"/>
        </w:rPr>
        <w:t>]</w:t>
      </w:r>
      <w:r>
        <w:rPr>
          <w:color w:val="000000"/>
        </w:rPr>
        <w:t>.</w:t>
      </w:r>
    </w:p>
    <w:p w14:paraId="68555CE6" w14:textId="30455B68" w:rsidR="00050C62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поставлена задача синтеза и детального изучения электрохимических свойств представителей семейства материалов с общей формулой КТР</w:t>
      </w:r>
      <w:r>
        <w:rPr>
          <w:color w:val="000000"/>
        </w:rPr>
        <w:noBreakHyphen/>
        <w:t>Na</w:t>
      </w:r>
      <w:r>
        <w:rPr>
          <w:color w:val="000000"/>
          <w:vertAlign w:val="subscript"/>
        </w:rPr>
        <w:t>1</w:t>
      </w:r>
      <w:r>
        <w:rPr>
          <w:color w:val="000000"/>
          <w:vertAlign w:val="subscript"/>
        </w:rPr>
        <w:noBreakHyphen/>
        <w:t>x</w:t>
      </w:r>
      <w:r>
        <w:rPr>
          <w:color w:val="000000"/>
        </w:rPr>
        <w:t>K</w:t>
      </w:r>
      <w:r>
        <w:rPr>
          <w:color w:val="000000"/>
          <w:vertAlign w:val="subscript"/>
        </w:rPr>
        <w:t>x</w:t>
      </w:r>
      <w:r>
        <w:rPr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color w:val="000000"/>
          <w:vertAlign w:val="subscript"/>
        </w:rPr>
        <w:noBreakHyphen/>
        <w:t>y</w:t>
      </w:r>
      <w:r>
        <w:rPr>
          <w:color w:val="000000"/>
        </w:rPr>
        <w:t>M</w:t>
      </w:r>
      <w:r>
        <w:rPr>
          <w:color w:val="000000"/>
          <w:vertAlign w:val="subscript"/>
        </w:rPr>
        <w:t>y</w:t>
      </w:r>
      <w:r>
        <w:rPr>
          <w:color w:val="000000"/>
        </w:rPr>
        <w:t>PO</w:t>
      </w:r>
      <w:r>
        <w:rPr>
          <w:color w:val="000000"/>
          <w:vertAlign w:val="subscript"/>
        </w:rPr>
        <w:t>4</w:t>
      </w:r>
      <w:r>
        <w:rPr>
          <w:color w:val="000000"/>
        </w:rPr>
        <w:t>F</w:t>
      </w:r>
      <w:r w:rsidR="009B0DF0">
        <w:rPr>
          <w:color w:val="000000"/>
        </w:rPr>
        <w:t xml:space="preserve"> </w:t>
      </w:r>
      <w:r>
        <w:rPr>
          <w:color w:val="000000"/>
        </w:rPr>
        <w:t xml:space="preserve">(M = Cr, Ti) с </w:t>
      </w:r>
      <w:r w:rsidRPr="009B0DF0">
        <w:rPr>
          <w:color w:val="000000"/>
        </w:rPr>
        <w:t xml:space="preserve">различными </w:t>
      </w:r>
      <w:r>
        <w:rPr>
          <w:color w:val="000000"/>
        </w:rPr>
        <w:t>степенями замещения </w:t>
      </w:r>
      <w:r w:rsidRPr="009B0DF0">
        <w:rPr>
          <w:color w:val="000000"/>
        </w:rPr>
        <w:t>(</w:t>
      </w:r>
      <w:r>
        <w:rPr>
          <w:color w:val="000000"/>
          <w:lang w:val="en-US"/>
        </w:rPr>
        <w:t>x</w:t>
      </w:r>
      <w:r>
        <w:rPr>
          <w:color w:val="000000"/>
        </w:rPr>
        <w:t> </w:t>
      </w:r>
      <w:r w:rsidRPr="009B0DF0">
        <w:rPr>
          <w:color w:val="000000"/>
        </w:rPr>
        <w:t>=</w:t>
      </w:r>
      <w:r>
        <w:rPr>
          <w:color w:val="000000"/>
        </w:rPr>
        <w:t> </w:t>
      </w:r>
      <w:r w:rsidRPr="009B0DF0">
        <w:rPr>
          <w:color w:val="000000"/>
        </w:rPr>
        <w:t>0.15,</w:t>
      </w:r>
      <w:r>
        <w:rPr>
          <w:color w:val="000000"/>
        </w:rPr>
        <w:t> </w:t>
      </w:r>
      <w:r>
        <w:rPr>
          <w:color w:val="000000"/>
          <w:lang w:val="en-US"/>
        </w:rPr>
        <w:t>y</w:t>
      </w:r>
      <w:r>
        <w:rPr>
          <w:color w:val="000000"/>
        </w:rPr>
        <w:t> </w:t>
      </w:r>
      <w:r w:rsidRPr="009B0DF0">
        <w:rPr>
          <w:color w:val="000000"/>
        </w:rPr>
        <w:t>≤</w:t>
      </w:r>
      <w:r>
        <w:rPr>
          <w:color w:val="000000"/>
        </w:rPr>
        <w:t> </w:t>
      </w:r>
      <w:r w:rsidRPr="009B0DF0">
        <w:rPr>
          <w:color w:val="000000"/>
        </w:rPr>
        <w:t>0.25)</w:t>
      </w:r>
      <w:r>
        <w:rPr>
          <w:color w:val="000000"/>
        </w:rPr>
        <w:t>.</w:t>
      </w:r>
    </w:p>
    <w:p w14:paraId="1909D173" w14:textId="77777777" w:rsidR="00050C62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Однофазные образцы Na</w:t>
      </w:r>
      <w:r>
        <w:rPr>
          <w:color w:val="000000"/>
          <w:vertAlign w:val="subscript"/>
        </w:rPr>
        <w:t>1-x</w:t>
      </w:r>
      <w:r>
        <w:rPr>
          <w:color w:val="000000"/>
        </w:rPr>
        <w:t>K</w:t>
      </w:r>
      <w:r>
        <w:rPr>
          <w:color w:val="000000"/>
          <w:vertAlign w:val="subscript"/>
        </w:rPr>
        <w:t>x</w:t>
      </w:r>
      <w:r>
        <w:rPr>
          <w:color w:val="000000"/>
        </w:rPr>
        <w:t>V</w:t>
      </w:r>
      <w:r>
        <w:rPr>
          <w:color w:val="000000"/>
          <w:vertAlign w:val="subscript"/>
        </w:rPr>
        <w:t>1-y</w:t>
      </w:r>
      <w:r>
        <w:rPr>
          <w:color w:val="000000"/>
        </w:rPr>
        <w:t>M</w:t>
      </w:r>
      <w:r>
        <w:rPr>
          <w:color w:val="000000"/>
          <w:vertAlign w:val="subscript"/>
        </w:rPr>
        <w:t>y</w:t>
      </w:r>
      <w:r>
        <w:rPr>
          <w:color w:val="000000"/>
        </w:rPr>
        <w:t>PO</w:t>
      </w:r>
      <w:r>
        <w:rPr>
          <w:color w:val="000000"/>
          <w:vertAlign w:val="subscript"/>
        </w:rPr>
        <w:t>4</w:t>
      </w:r>
      <w:r>
        <w:rPr>
          <w:color w:val="000000"/>
        </w:rPr>
        <w:t xml:space="preserve">F со структурой </w:t>
      </w:r>
      <w:r>
        <w:rPr>
          <w:color w:val="000000"/>
          <w:lang w:val="en-US"/>
        </w:rPr>
        <w:t>KTP</w:t>
      </w:r>
      <w:r>
        <w:rPr>
          <w:color w:val="000000"/>
        </w:rPr>
        <w:t xml:space="preserve"> были получены двухстадийным методом, аналогичным ранее предложенному Shraer et al. [1], с использованием ионного обмена в расплаве глутамата натрия с аммониевым прекурсором (NH</w:t>
      </w:r>
      <w:r>
        <w:rPr>
          <w:color w:val="000000"/>
          <w:vertAlign w:val="subscript"/>
        </w:rPr>
        <w:t>4</w:t>
      </w:r>
      <w:r>
        <w:rPr>
          <w:color w:val="000000"/>
        </w:rPr>
        <w:t>)</w:t>
      </w:r>
      <w:r>
        <w:rPr>
          <w:color w:val="000000"/>
          <w:vertAlign w:val="subscript"/>
        </w:rPr>
        <w:t>1-x</w:t>
      </w:r>
      <w:r>
        <w:rPr>
          <w:color w:val="000000"/>
        </w:rPr>
        <w:t>K</w:t>
      </w:r>
      <w:r>
        <w:rPr>
          <w:color w:val="000000"/>
          <w:vertAlign w:val="subscript"/>
        </w:rPr>
        <w:t>x</w:t>
      </w:r>
      <w:r>
        <w:rPr>
          <w:color w:val="000000"/>
        </w:rPr>
        <w:t>V</w:t>
      </w:r>
      <w:r>
        <w:rPr>
          <w:color w:val="000000"/>
          <w:vertAlign w:val="subscript"/>
        </w:rPr>
        <w:t>1-y</w:t>
      </w:r>
      <w:r>
        <w:rPr>
          <w:color w:val="000000"/>
        </w:rPr>
        <w:t>M</w:t>
      </w:r>
      <w:r>
        <w:rPr>
          <w:color w:val="000000"/>
          <w:vertAlign w:val="subscript"/>
        </w:rPr>
        <w:t>y</w:t>
      </w:r>
      <w:r>
        <w:rPr>
          <w:color w:val="000000"/>
        </w:rPr>
        <w:t>PO</w:t>
      </w:r>
      <w:r>
        <w:rPr>
          <w:color w:val="000000"/>
          <w:vertAlign w:val="subscript"/>
        </w:rPr>
        <w:t>4</w:t>
      </w:r>
      <w:r>
        <w:rPr>
          <w:color w:val="000000"/>
        </w:rPr>
        <w:t>F, полученного гидротермическим методом. Фазовый состав образцов на каждой стадии контролировался методом рентгеновской дифракции.</w:t>
      </w:r>
    </w:p>
    <w:p w14:paraId="5AFE0F91" w14:textId="06C3DBCE" w:rsidR="00050C62" w:rsidRDefault="00000000">
      <w:pPr>
        <w:shd w:val="clear" w:color="auto" w:fill="FFFFFF"/>
        <w:ind w:firstLine="397"/>
        <w:jc w:val="both"/>
        <w:rPr>
          <w:rStyle w:val="Char"/>
        </w:rPr>
      </w:pPr>
      <w:r>
        <w:rPr>
          <w:rStyle w:val="Char"/>
        </w:rPr>
        <w:t xml:space="preserve">Для установления связи кулоновской эффективности и устойчивости к длительному циклированию образцов от степени замещения было проведено гальваностатическое циклирование полученных материалов в ячейке против металлического натрия. В ходе испытаний полученные образцы показали высокое сохранение ёмкости при длительном циклировании (сохранение 85-90 % ёмкости после 500 циклов 0.5 </w:t>
      </w:r>
      <w:r w:rsidR="009B0DF0" w:rsidRPr="009B0DF0">
        <w:rPr>
          <w:rStyle w:val="Char"/>
          <w:vertAlign w:val="superscript"/>
        </w:rPr>
        <w:t>о</w:t>
      </w:r>
      <w:r>
        <w:rPr>
          <w:rStyle w:val="Char"/>
          <w:lang w:val="en-US"/>
        </w:rPr>
        <w:t>C</w:t>
      </w:r>
      <w:r>
        <w:rPr>
          <w:rStyle w:val="Char"/>
        </w:rPr>
        <w:t>),</w:t>
      </w:r>
      <w:r w:rsidR="009B0DF0">
        <w:rPr>
          <w:rStyle w:val="Char"/>
        </w:rPr>
        <w:t xml:space="preserve"> </w:t>
      </w:r>
      <w:r>
        <w:rPr>
          <w:rStyle w:val="Char"/>
        </w:rPr>
        <w:t xml:space="preserve">однако высокие степени замещения приводят к снижению емкостных характеристик материала </w:t>
      </w:r>
      <w:r w:rsidR="009B0DF0">
        <w:rPr>
          <w:rStyle w:val="Char"/>
        </w:rPr>
        <w:t xml:space="preserve"> </w:t>
      </w:r>
      <w:r>
        <w:rPr>
          <w:rStyle w:val="Char"/>
        </w:rPr>
        <w:t>(87 </w:t>
      </w:r>
      <w:r>
        <w:rPr>
          <w:color w:val="000000"/>
        </w:rPr>
        <w:t>мАч*г</w:t>
      </w:r>
      <w:r>
        <w:rPr>
          <w:color w:val="000000"/>
          <w:vertAlign w:val="superscript"/>
        </w:rPr>
        <w:t>-1</w:t>
      </w:r>
      <w:r w:rsidR="009B0DF0" w:rsidRPr="009B0DF0">
        <w:rPr>
          <w:color w:val="000000"/>
        </w:rPr>
        <w:t>)</w:t>
      </w:r>
      <w:r>
        <w:rPr>
          <w:rStyle w:val="Char"/>
        </w:rPr>
        <w:t xml:space="preserve"> при 0.5 </w:t>
      </w:r>
      <w:r w:rsidR="009B0DF0" w:rsidRPr="009B0DF0">
        <w:rPr>
          <w:rStyle w:val="Char"/>
          <w:vertAlign w:val="superscript"/>
        </w:rPr>
        <w:t>о</w:t>
      </w:r>
      <w:r>
        <w:rPr>
          <w:rStyle w:val="Char"/>
          <w:lang w:val="en-US"/>
        </w:rPr>
        <w:t>C</w:t>
      </w:r>
      <w:r w:rsidRPr="009B0DF0">
        <w:rPr>
          <w:rStyle w:val="Char"/>
        </w:rPr>
        <w:t xml:space="preserve"> </w:t>
      </w:r>
      <w:r>
        <w:rPr>
          <w:rStyle w:val="Char"/>
        </w:rPr>
        <w:t>для образца, содержащего 25 %</w:t>
      </w:r>
      <w:r w:rsidRPr="009B0DF0">
        <w:rPr>
          <w:rStyle w:val="Char"/>
        </w:rPr>
        <w:t xml:space="preserve"> </w:t>
      </w:r>
      <w:r>
        <w:rPr>
          <w:rStyle w:val="Char"/>
          <w:lang w:val="en-US"/>
        </w:rPr>
        <w:t>Ti</w:t>
      </w:r>
      <w:r>
        <w:rPr>
          <w:rStyle w:val="Char"/>
        </w:rPr>
        <w:t xml:space="preserve">, при 100 </w:t>
      </w:r>
      <w:r>
        <w:rPr>
          <w:color w:val="000000"/>
        </w:rPr>
        <w:t>мАч*г</w:t>
      </w:r>
      <w:r>
        <w:rPr>
          <w:color w:val="000000"/>
          <w:vertAlign w:val="superscript"/>
        </w:rPr>
        <w:t xml:space="preserve">-1 </w:t>
      </w:r>
      <w:r>
        <w:rPr>
          <w:rStyle w:val="Char"/>
        </w:rPr>
        <w:t xml:space="preserve">для незамещённого </w:t>
      </w:r>
      <w:r>
        <w:rPr>
          <w:rStyle w:val="Char"/>
          <w:lang w:val="en-US"/>
        </w:rPr>
        <w:t>Ti</w:t>
      </w:r>
      <w:r w:rsidRPr="009B0DF0">
        <w:rPr>
          <w:rStyle w:val="Char"/>
        </w:rPr>
        <w:t xml:space="preserve"> </w:t>
      </w:r>
      <w:r>
        <w:rPr>
          <w:rStyle w:val="Char"/>
        </w:rPr>
        <w:t>образца).</w:t>
      </w:r>
    </w:p>
    <w:p w14:paraId="6271F0DD" w14:textId="77777777" w:rsidR="00050C62" w:rsidRDefault="00000000">
      <w:pP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поддержке Российского научного фонда (грант РНФ № 23 73 10125)</w:t>
      </w:r>
    </w:p>
    <w:p w14:paraId="503C99C7" w14:textId="77777777" w:rsidR="00050C62" w:rsidRDefault="0000000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39C3DEB" w14:textId="77777777" w:rsidR="00050C62" w:rsidRDefault="00000000">
      <w:pPr>
        <w:numPr>
          <w:ilvl w:val="0"/>
          <w:numId w:val="2"/>
        </w:num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Shraer S.D., Luchinin N.D., Trussov I.A. et al. Development of vanadium-based polyanion positive electrode active materials for high-voltage sodium-based batteries. Nat Commun. 2022. vol. 13, p. 4097.</w:t>
      </w:r>
    </w:p>
    <w:p w14:paraId="52A7B25D" w14:textId="77777777" w:rsidR="00050C62" w:rsidRDefault="00000000">
      <w:pPr>
        <w:numPr>
          <w:ilvl w:val="0"/>
          <w:numId w:val="2"/>
        </w:num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Leyi Li, Xiaohao Liu, Linbin Tang, Haimei Liu, Yong-Gang Wang, «Improved electrochemical performance of high voltage cathode Na</w:t>
      </w:r>
      <w:r>
        <w:rPr>
          <w:color w:val="000000"/>
          <w:vertAlign w:val="subscript"/>
          <w:lang w:val="en-US"/>
        </w:rPr>
        <w:t>3</w:t>
      </w:r>
      <w:r>
        <w:rPr>
          <w:color w:val="000000"/>
          <w:lang w:val="en-US"/>
        </w:rPr>
        <w:t>V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(PO</w:t>
      </w:r>
      <w:r>
        <w:rPr>
          <w:color w:val="000000"/>
          <w:vertAlign w:val="subscript"/>
          <w:lang w:val="en-US"/>
        </w:rPr>
        <w:t>4</w:t>
      </w:r>
      <w:r>
        <w:rPr>
          <w:color w:val="000000"/>
          <w:lang w:val="en-US"/>
        </w:rPr>
        <w:t>)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F</w:t>
      </w:r>
      <w:r>
        <w:rPr>
          <w:color w:val="000000"/>
          <w:vertAlign w:val="subscript"/>
          <w:lang w:val="en-US"/>
        </w:rPr>
        <w:t>3</w:t>
      </w:r>
      <w:r>
        <w:rPr>
          <w:color w:val="000000"/>
          <w:lang w:val="en-US"/>
        </w:rPr>
        <w:t xml:space="preserve"> for Na-ion batteries through potassium doping,» J. Alloys Compd., vol. 790, pp. 203-211, 2019.</w:t>
      </w:r>
    </w:p>
    <w:p w14:paraId="404CA6C3" w14:textId="77777777" w:rsidR="00050C62" w:rsidRDefault="00000000">
      <w:pPr>
        <w:numPr>
          <w:ilvl w:val="0"/>
          <w:numId w:val="2"/>
        </w:num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Lee, S.-H. and Ryu, K.-S., Effects of Ti Doping on the Structural Stability and Enhanced Electrochemical Performance of α-LiVOPO</w:t>
      </w:r>
      <w:r>
        <w:rPr>
          <w:color w:val="000000"/>
          <w:vertAlign w:val="subscript"/>
          <w:lang w:val="en-US"/>
        </w:rPr>
        <w:t>4</w:t>
      </w:r>
      <w:r>
        <w:rPr>
          <w:color w:val="000000"/>
          <w:lang w:val="en-US"/>
        </w:rPr>
        <w:t>. Bull. Korean Chem. Soc., vol. 39, pp. 1266-1272, 2018.</w:t>
      </w:r>
    </w:p>
    <w:p w14:paraId="4AAE4BD1" w14:textId="77777777" w:rsidR="00050C62" w:rsidRDefault="00000000">
      <w:pPr>
        <w:numPr>
          <w:ilvl w:val="0"/>
          <w:numId w:val="2"/>
        </w:num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Chen, Y., Zhao, Y., An, X., Liu, J., Dong, Y., &amp; Chen, L., Preparation and electrochemical performance studies on Cr-doped Li</w:t>
      </w:r>
      <w:r>
        <w:rPr>
          <w:color w:val="000000"/>
          <w:vertAlign w:val="subscript"/>
          <w:lang w:val="en-US"/>
        </w:rPr>
        <w:t>3</w:t>
      </w:r>
      <w:r>
        <w:rPr>
          <w:color w:val="000000"/>
          <w:lang w:val="en-US"/>
        </w:rPr>
        <w:t>V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(PO</w:t>
      </w:r>
      <w:r>
        <w:rPr>
          <w:color w:val="000000"/>
          <w:vertAlign w:val="subscript"/>
          <w:lang w:val="en-US"/>
        </w:rPr>
        <w:t>4</w:t>
      </w:r>
      <w:r>
        <w:rPr>
          <w:color w:val="000000"/>
          <w:lang w:val="en-US"/>
        </w:rPr>
        <w:t>)</w:t>
      </w:r>
      <w:r>
        <w:rPr>
          <w:color w:val="000000"/>
          <w:vertAlign w:val="subscript"/>
          <w:lang w:val="en-US"/>
        </w:rPr>
        <w:t>3</w:t>
      </w:r>
      <w:r>
        <w:rPr>
          <w:color w:val="000000"/>
          <w:lang w:val="en-US"/>
        </w:rPr>
        <w:t xml:space="preserve"> as cathode materials for lithium-ion batteries. Electrochim</w:t>
      </w:r>
      <w:r>
        <w:rPr>
          <w:color w:val="000000"/>
        </w:rPr>
        <w:t>.</w:t>
      </w:r>
      <w:r>
        <w:rPr>
          <w:color w:val="000000"/>
          <w:lang w:val="en-US"/>
        </w:rPr>
        <w:t xml:space="preserve"> Acta, vol. 54(24), pp. 5844–5850, 2009. </w:t>
      </w:r>
    </w:p>
    <w:sectPr w:rsidR="00050C6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FB16B0"/>
    <w:multiLevelType w:val="singleLevel"/>
    <w:tmpl w:val="97FB16B0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5AD541D8"/>
    <w:multiLevelType w:val="singleLevel"/>
    <w:tmpl w:val="5AD541D8"/>
    <w:lvl w:ilvl="0">
      <w:start w:val="1"/>
      <w:numFmt w:val="decimal"/>
      <w:suff w:val="space"/>
      <w:lvlText w:val="%1."/>
      <w:lvlJc w:val="left"/>
    </w:lvl>
  </w:abstractNum>
  <w:num w:numId="1" w16cid:durableId="61560048">
    <w:abstractNumId w:val="0"/>
  </w:num>
  <w:num w:numId="2" w16cid:durableId="408307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0C62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035C0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0DF0"/>
    <w:rsid w:val="009B2F80"/>
    <w:rsid w:val="009B3300"/>
    <w:rsid w:val="009F3380"/>
    <w:rsid w:val="00A02163"/>
    <w:rsid w:val="00A314FE"/>
    <w:rsid w:val="00AD376F"/>
    <w:rsid w:val="00AD7380"/>
    <w:rsid w:val="00BF36F8"/>
    <w:rsid w:val="00BF4622"/>
    <w:rsid w:val="00C52965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EC058E"/>
    <w:rsid w:val="00F865B3"/>
    <w:rsid w:val="00FB1509"/>
    <w:rsid w:val="00FF1903"/>
    <w:rsid w:val="14945613"/>
    <w:rsid w:val="1EB870B4"/>
    <w:rsid w:val="326169CD"/>
    <w:rsid w:val="47CA5962"/>
    <w:rsid w:val="4BEF7AB3"/>
    <w:rsid w:val="63F1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6AA3"/>
  <w15:docId w15:val="{56E92DD1-0A32-44E9-9DED-8C8E675D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qFormat/>
    <w:locked/>
  </w:style>
  <w:style w:type="character" w:styleId="af">
    <w:name w:val="Placeholder Text"/>
    <w:basedOn w:val="a0"/>
    <w:uiPriority w:val="99"/>
    <w:semiHidden/>
    <w:rPr>
      <w:color w:val="808080"/>
    </w:rPr>
  </w:style>
  <w:style w:type="paragraph" w:styleId="af0">
    <w:name w:val="No Spacing"/>
    <w:uiPriority w:val="1"/>
    <w:qFormat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rPr>
      <w:rFonts w:eastAsia="Times New Roman"/>
      <w:sz w:val="24"/>
      <w:szCs w:val="24"/>
    </w:rPr>
  </w:style>
  <w:style w:type="character" w:customStyle="1" w:styleId="Char">
    <w:name w:val="Курсач общ Char"/>
    <w:link w:val="af1"/>
    <w:qFormat/>
    <w:rPr>
      <w:rFonts w:ascii="Times New Roman" w:hAnsi="Times New Roman"/>
      <w:sz w:val="24"/>
    </w:rPr>
  </w:style>
  <w:style w:type="paragraph" w:customStyle="1" w:styleId="af1">
    <w:name w:val="Курсач общ"/>
    <w:basedOn w:val="a"/>
    <w:link w:val="Char"/>
    <w:qFormat/>
    <w:pPr>
      <w:spacing w:before="120" w:after="120" w:line="360" w:lineRule="auto"/>
      <w:ind w:firstLine="709"/>
      <w:jc w:val="both"/>
    </w:pPr>
  </w:style>
  <w:style w:type="character" w:customStyle="1" w:styleId="a8">
    <w:name w:val="Текст примечания Знак"/>
    <w:basedOn w:val="a0"/>
    <w:link w:val="a7"/>
    <w:uiPriority w:val="99"/>
    <w:semiHidden/>
    <w:rPr>
      <w:rFonts w:eastAsia="Times New Roman"/>
    </w:rPr>
  </w:style>
  <w:style w:type="character" w:customStyle="1" w:styleId="aa">
    <w:name w:val="Тема примечания Знак"/>
    <w:basedOn w:val="a8"/>
    <w:link w:val="a9"/>
    <w:uiPriority w:val="99"/>
    <w:semiHidden/>
    <w:rPr>
      <w:rFonts w:eastAsia="Times New Roman"/>
      <w:b/>
      <w:bCs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55FD66-6326-47AF-9DC5-5A3E645F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522</Words>
  <Characters>2978</Characters>
  <Application>Microsoft Office Word</Application>
  <DocSecurity>0</DocSecurity>
  <Lines>24</Lines>
  <Paragraphs>6</Paragraphs>
  <ScaleCrop>false</ScaleCrop>
  <Company>Lomonosov MSU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</dc:creator>
  <cp:lastModifiedBy>Мария Скрыпник</cp:lastModifiedBy>
  <cp:revision>3</cp:revision>
  <dcterms:created xsi:type="dcterms:W3CDTF">2025-03-05T10:33:00Z</dcterms:created>
  <dcterms:modified xsi:type="dcterms:W3CDTF">2025-03-18T11:04:00Z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1049-12.2.0.20341</vt:lpwstr>
  </property>
  <property fmtid="{D5CDD505-2E9C-101B-9397-08002B2CF9AE}" pid="26" name="ICV">
    <vt:lpwstr>ED14B4A1650B437D9780A590FE58D0E5_13</vt:lpwstr>
  </property>
</Properties>
</file>