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 xml:space="preserve">Квантово-химическое моделирование координации комплекса </w:t>
      </w:r>
      <w:r>
        <w:rPr>
          <w:b/>
          <w:color w:val="000000"/>
          <w:lang w:val="en-US"/>
        </w:rPr>
        <w:t>Eu</w:t>
      </w: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 xml:space="preserve">) на поверхности квантовых точек </w:t>
      </w:r>
      <w:r>
        <w:rPr>
          <w:b/>
          <w:color w:val="000000"/>
          <w:lang w:val="en-US"/>
        </w:rPr>
        <w:t>CdS</w:t>
      </w:r>
      <w:r>
        <w:rPr>
          <w:b/>
          <w:color w:val="000000"/>
        </w:rPr>
        <w:t xml:space="preserve"> и </w:t>
      </w:r>
      <w:r>
        <w:rPr>
          <w:b/>
          <w:color w:val="000000"/>
          <w:lang w:val="en-US"/>
        </w:rPr>
        <w:t>ZnS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Исхаков А.Ф.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>
      <w:pPr>
        <w:pStyle w:val="Normal"/>
        <w:shd w:val="clear" w:color="auto" w:fill="FFFFFF"/>
        <w:jc w:val="center"/>
        <w:rPr/>
      </w:pPr>
      <w:r>
        <w:rPr>
          <w:i/>
          <w:color w:val="000000"/>
        </w:rPr>
        <w:t>Казанский национальный исследовательский технологический университет, Казань, Россия</w:t>
      </w:r>
    </w:p>
    <w:p>
      <w:pPr>
        <w:pStyle w:val="Normal"/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 xml:space="preserve">iskhakov.adil@mail.ru </w:t>
      </w:r>
    </w:p>
    <w:p>
      <w:pPr>
        <w:pStyle w:val="Normal"/>
        <w:ind w:firstLine="283"/>
        <w:jc w:val="both"/>
        <w:rPr/>
      </w:pPr>
      <w:r>
        <w:rPr>
          <w:rFonts w:eastAsia="NSimSun" w:cs="Mangal"/>
          <w:color w:val="000000"/>
          <w:kern w:val="2"/>
          <w:lang w:eastAsia="zh-CN" w:bidi="hi-IN"/>
        </w:rPr>
        <w:t>Квантовые точки (КТ) представляют собой наноразмерные полупроводниковые частицы, обладающие уникальными физико-химическими свойствами. Также к</w:t>
      </w:r>
      <w:r>
        <w:rPr>
          <w:color w:val="000000"/>
        </w:rPr>
        <w:t xml:space="preserve"> современным материалам относят комплексы европия(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) (Eu(III)), которые используются в качестве люминофоров. </w:t>
      </w:r>
      <w:r>
        <w:rPr>
          <w:rFonts w:eastAsia="NSimSun" w:cs="Mangal"/>
          <w:color w:val="000000"/>
          <w:kern w:val="2"/>
          <w:lang w:eastAsia="zh-CN" w:bidi="hi-IN"/>
        </w:rPr>
        <w:t xml:space="preserve">Для этих материалов существует такое явления как перенос фотовозбуждения, что открывает уникальные возможности для создания оптических материалов на их основе. </w:t>
      </w:r>
      <w:r>
        <w:rPr>
          <w:color w:val="000000"/>
        </w:rPr>
        <w:t xml:space="preserve">Одним из способов изучения </w:t>
      </w:r>
      <w:r>
        <w:rPr>
          <w:rFonts w:eastAsia="NSimSun" w:cs="Mangal"/>
          <w:color w:val="000000"/>
          <w:kern w:val="2"/>
          <w:lang w:eastAsia="zh-CN" w:bidi="hi-IN"/>
        </w:rPr>
        <w:t>структуры и свойства новых материалов является применение методов квантово-химических моделирования. Применение эффективных методов позволяет разрабатывать новый материал и усовершенствовать существующий до практического синтеза, обходя сложности синтеза и дороговизну материалов.</w:t>
      </w:r>
    </w:p>
    <w:p>
      <w:pPr>
        <w:pStyle w:val="Normal"/>
        <w:shd w:val="clear" w:color="auto" w:fill="FFFFFF"/>
        <w:ind w:firstLine="397"/>
        <w:jc w:val="both"/>
        <w:rPr>
          <w:rFonts w:eastAsia="NSimSun" w:cs="Mangal"/>
          <w:color w:val="000000"/>
          <w:kern w:val="2"/>
          <w:lang w:eastAsia="zh-CN" w:bidi="hi-IN"/>
        </w:rPr>
      </w:pPr>
      <w:r>
        <w:rPr>
          <w:rFonts w:eastAsia="NSimSun" w:cs="Mangal"/>
          <w:color w:val="000000"/>
          <w:kern w:val="2"/>
          <w:lang w:eastAsia="zh-CN" w:bidi="hi-IN"/>
        </w:rPr>
        <w:t>В данной работе в качестве объектов исследования были выбраны такие КТ как CdS и ZnS. В качестве поверхностных агентов (ПА) были выбраны тиокарбоновые кислоты — тиогликолевая, тиопропионовая и дигидролеполевая. В качестве модельного комплекса был выбран комплекса Eu(III) с 2-теноилтрифторацетоном (ТТА) и с основанием Льюиса.</w:t>
      </w:r>
    </w:p>
    <w:p>
      <w:pPr>
        <w:pStyle w:val="Normal"/>
        <w:ind w:firstLine="397"/>
        <w:jc w:val="both"/>
        <w:rPr>
          <w:rFonts w:eastAsia="NSimSun" w:cs="Mangal"/>
          <w:color w:val="000000"/>
          <w:kern w:val="2"/>
          <w:lang w:eastAsia="zh-CN" w:bidi="hi-IN"/>
        </w:rPr>
      </w:pPr>
      <w:r>
        <w:rPr>
          <w:rFonts w:eastAsia="NSimSun" w:cs="Mangal"/>
          <w:color w:val="000000"/>
          <w:kern w:val="2"/>
          <w:lang w:eastAsia="zh-CN" w:bidi="hi-IN"/>
        </w:rPr>
        <w:t>Моделирование и оптимизация геометрии молекул ПА проводились с использованием метода DFT HSEH1PBE / 6-311G(d,p). В качестве метода моделирования и оптимизации геометрии поверхности КТ CdS и ZnS, состоявшей из трех монослоев, был выбран PM7. В качестве методов моделирования и оптимизация геометрии молекулы комплекса Eu(III) использовался метод RM1/Sparkle. Для оценки возможности координации комплекса Eu(III) на поверхности КТ был проведен расчет энергий образующихся донорно-акцепторных связей между: поверхностными атомами Cd и Zn и ПА с функциональными группами –SH; между комплексом Eu(III) и ПА с функциональными группами –</w:t>
      </w:r>
      <w:r>
        <w:rPr>
          <w:rFonts w:eastAsia="NSimSun" w:cs="Mangal"/>
          <w:color w:val="000000"/>
          <w:kern w:val="2"/>
          <w:lang w:val="en-US" w:eastAsia="zh-CN" w:bidi="hi-IN"/>
        </w:rPr>
        <w:t>COOH</w:t>
      </w:r>
      <w:r>
        <w:rPr>
          <w:rFonts w:eastAsia="NSimSun" w:cs="Mangal"/>
          <w:color w:val="000000"/>
          <w:kern w:val="2"/>
          <w:lang w:eastAsia="zh-CN" w:bidi="hi-IN"/>
        </w:rPr>
        <w:t>; а также расчет всей системы «КТ – ПА – комплекс Eu(III)»</w:t>
      </w:r>
    </w:p>
    <w:p>
      <w:pPr>
        <w:pStyle w:val="Normal"/>
        <w:ind w:firstLine="397"/>
        <w:jc w:val="both"/>
        <w:rPr/>
      </w:pPr>
      <w:r>
        <w:rPr>
          <w:rFonts w:eastAsia="NSimSun" w:cs="Mangal"/>
          <w:color w:val="000000"/>
          <w:kern w:val="2"/>
          <w:lang w:eastAsia="zh-CN" w:bidi="hi-IN"/>
        </w:rPr>
        <w:t>Результаты показали, что поверхности КТ и ПА способны образовывать с друг другом донорно-акцепторную связь со значением энергии ~1–7</w:t>
      </w:r>
      <w:r>
        <w:rPr>
          <w:rFonts w:eastAsia="NSimSun" w:cs="Mangal"/>
          <w:color w:val="000000"/>
          <w:kern w:val="2"/>
          <w:lang w:val="en-US" w:eastAsia="zh-CN" w:bidi="hi-IN"/>
        </w:rPr>
        <w:t> </w:t>
      </w:r>
      <w:r>
        <w:rPr>
          <w:rFonts w:eastAsia="NSimSun" w:cs="Mangal"/>
          <w:color w:val="000000"/>
          <w:kern w:val="2"/>
          <w:lang w:eastAsia="zh-CN" w:bidi="hi-IN"/>
        </w:rPr>
        <w:t xml:space="preserve">эВ. Также расчет показал, что энергия взаимодействия между ПА и комплексом </w:t>
      </w:r>
      <w:r>
        <w:rPr>
          <w:rFonts w:eastAsia="NSimSun" w:cs="Mangal"/>
          <w:color w:val="000000"/>
          <w:kern w:val="2"/>
          <w:lang w:val="en-US" w:eastAsia="zh-CN" w:bidi="hi-IN"/>
        </w:rPr>
        <w:t>Eu</w:t>
      </w:r>
      <w:r>
        <w:rPr>
          <w:rFonts w:eastAsia="NSimSun" w:cs="Mangal"/>
          <w:color w:val="000000"/>
          <w:kern w:val="2"/>
          <w:lang w:eastAsia="zh-CN" w:bidi="hi-IN"/>
        </w:rPr>
        <w:t>(</w:t>
      </w:r>
      <w:r>
        <w:rPr>
          <w:rFonts w:eastAsia="NSimSun" w:cs="Mangal"/>
          <w:color w:val="000000"/>
          <w:kern w:val="2"/>
          <w:lang w:val="en-US" w:eastAsia="zh-CN" w:bidi="hi-IN"/>
        </w:rPr>
        <w:t>III</w:t>
      </w:r>
      <w:r>
        <w:rPr>
          <w:rFonts w:eastAsia="NSimSun" w:cs="Mangal"/>
          <w:color w:val="000000"/>
          <w:kern w:val="2"/>
          <w:lang w:eastAsia="zh-CN" w:bidi="hi-IN"/>
        </w:rPr>
        <w:t>) имеет значение около 0,18</w:t>
      </w:r>
      <w:r>
        <w:rPr>
          <w:rFonts w:eastAsia="NSimSun" w:cs="Mangal"/>
          <w:color w:val="000000"/>
          <w:kern w:val="2"/>
          <w:lang w:val="en-US" w:eastAsia="zh-CN" w:bidi="hi-IN"/>
        </w:rPr>
        <w:t> </w:t>
      </w:r>
      <w:r>
        <w:rPr>
          <w:rFonts w:eastAsia="NSimSun" w:cs="Mangal"/>
          <w:color w:val="000000"/>
          <w:kern w:val="2"/>
          <w:lang w:eastAsia="zh-CN" w:bidi="hi-IN"/>
        </w:rPr>
        <w:t xml:space="preserve">эВ, что говорит о возможной, но слишком слабой связи между компонентами. Оценка влияния </w:t>
      </w:r>
      <w:r>
        <w:rPr>
          <w:rFonts w:eastAsia="NSimSun" w:cs="Mangal"/>
          <w:color w:val="000000"/>
          <w:kern w:val="2"/>
          <w:shd w:fill="auto" w:val="clear"/>
          <w:lang w:eastAsia="zh-CN" w:bidi="hi-IN"/>
        </w:rPr>
        <w:t>системы «КТ – ПА – Eu(III)TTA</w:t>
      </w:r>
      <w:r>
        <w:rPr>
          <w:rFonts w:eastAsia="NSimSun" w:cs="Mangal"/>
          <w:color w:val="000000"/>
          <w:kern w:val="2"/>
          <w:shd w:fill="auto" w:val="clear"/>
          <w:vertAlign w:val="subscript"/>
          <w:lang w:eastAsia="zh-CN" w:bidi="hi-IN"/>
        </w:rPr>
        <w:t>3</w:t>
      </w:r>
      <w:r>
        <w:rPr>
          <w:rFonts w:eastAsia="NSimSun" w:cs="Mangal"/>
          <w:color w:val="000000"/>
          <w:kern w:val="2"/>
          <w:shd w:fill="auto" w:val="clear"/>
          <w:lang w:eastAsia="zh-CN" w:bidi="hi-IN"/>
        </w:rPr>
        <w:t xml:space="preserve">» на геометрию поверхности КТ в присутствии и без комплекса Eu(III) показала значение </w:t>
      </w:r>
      <w:r>
        <w:rPr>
          <w:rFonts w:eastAsia="NSimSun" w:cs="Mangal"/>
          <w:color w:val="000000"/>
          <w:kern w:val="2"/>
          <w:shd w:fill="auto" w:val="clear"/>
          <w:lang w:eastAsia="zh-CN" w:bidi="hi-IN"/>
        </w:rPr>
        <w:t>среднего отклонения длин связи</w:t>
      </w:r>
      <w:r>
        <w:rPr>
          <w:rFonts w:eastAsia="NSimSun" w:cs="Mangal"/>
          <w:color w:val="000000"/>
          <w:kern w:val="2"/>
          <w:shd w:fill="auto" w:val="clear"/>
          <w:lang w:eastAsia="zh-CN" w:bidi="hi-IN"/>
        </w:rPr>
        <w:t xml:space="preserve"> 0,5 %, что говорит о возможности исследования взаимодействия поверхности КТ с ПА.</w:t>
      </w:r>
    </w:p>
    <w:p>
      <w:pPr>
        <w:pStyle w:val="Normal"/>
        <w:ind w:firstLine="397"/>
        <w:jc w:val="both"/>
        <w:rPr>
          <w:rFonts w:eastAsia="NSimSun" w:cs="Mangal"/>
          <w:color w:val="000000"/>
          <w:kern w:val="2"/>
          <w:lang w:eastAsia="zh-CN" w:bidi="hi-IN"/>
        </w:rPr>
      </w:pPr>
      <w:r>
        <w:rPr>
          <w:rFonts w:eastAsia="NSimSun" w:cs="Mangal"/>
          <w:color w:val="000000"/>
          <w:kern w:val="2"/>
          <w:lang w:eastAsia="zh-CN" w:bidi="hi-IN"/>
        </w:rPr>
        <w:t>Дальнейшие исследования включат изучение</w:t>
      </w:r>
      <w:bookmarkStart w:id="0" w:name="_GoBack"/>
      <w:bookmarkEnd w:id="0"/>
      <w:r>
        <w:rPr>
          <w:rFonts w:eastAsia="NSimSun" w:cs="Mangal"/>
          <w:color w:val="000000"/>
          <w:kern w:val="2"/>
          <w:lang w:eastAsia="zh-CN" w:bidi="hi-IN"/>
        </w:rPr>
        <w:t xml:space="preserve"> других комплексов лантаноидов(</w:t>
      </w:r>
      <w:r>
        <w:rPr>
          <w:rFonts w:eastAsia="NSimSun" w:cs="Mangal"/>
          <w:color w:val="000000"/>
          <w:kern w:val="2"/>
          <w:lang w:val="en-US" w:eastAsia="zh-CN" w:bidi="hi-IN"/>
        </w:rPr>
        <w:t>III</w:t>
      </w:r>
      <w:r>
        <w:rPr>
          <w:rFonts w:eastAsia="NSimSun" w:cs="Mangal"/>
          <w:color w:val="000000"/>
          <w:kern w:val="2"/>
          <w:lang w:eastAsia="zh-CN" w:bidi="hi-IN"/>
        </w:rPr>
        <w:t>), а также их взаимное влияние друг на друга при координации на поверхности КТ</w:t>
      </w:r>
    </w:p>
    <w:p>
      <w:pPr>
        <w:pStyle w:val="Normal"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>
          <w:rFonts w:eastAsia="NSimSun" w:cs="Mangal"/>
          <w:i/>
          <w:iCs/>
          <w:color w:val="000000"/>
          <w:kern w:val="2"/>
          <w:lang w:eastAsia="zh-CN" w:bidi="hi-IN"/>
        </w:rPr>
        <w:t>Выражаю благодарность научному руководителю проф. д.х.н. Галяметдинову Ю.Г., доц. к.х.н. Романовой К.А. и сотрудникам кафедры ФКХ. Работа выполнена при финансовой поддержке Министерства науки и высшего образования Российской Федерации в рамках государственного задания на оказание государственных услуг (выполнение работ) от 29.12.2022 г. № 075-01508-23-00. Тема исследования «Создание научных основ получения новых мультифункциональных материалов широкого спектра применения».</w:t>
      </w:r>
    </w:p>
    <w:sectPr>
      <w:type w:val="nextPage"/>
      <w:pgSz w:w="11906" w:h="16838"/>
      <w:pgMar w:left="1361" w:right="1361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Mangal">
    <w:charset w:val="cc"/>
    <w:family w:val="roman"/>
    <w:pitch w:val="variable"/>
  </w:font>
  <w:font w:name="Noto San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Style9" w:customStyle="1">
    <w:name w:val="Интернет-ссылка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Title"/>
    <w:basedOn w:val="Normal"/>
    <w:next w:val="Style1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16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 w:customStyle="1">
    <w:name w:val="Объект без заливки"/>
    <w:basedOn w:val="Normal"/>
    <w:qFormat/>
    <w:pPr>
      <w:spacing w:lineRule="atLeast" w:line="200"/>
    </w:pPr>
    <w:rPr>
      <w:rFonts w:ascii="Mangal" w:hAnsi="Mangal"/>
      <w:kern w:val="2"/>
      <w:sz w:val="36"/>
    </w:rPr>
  </w:style>
  <w:style w:type="paragraph" w:styleId="Style18" w:customStyle="1">
    <w:name w:val="Объект без заливки и линий"/>
    <w:basedOn w:val="Normal"/>
    <w:qFormat/>
    <w:pPr>
      <w:spacing w:lineRule="atLeast" w:line="200"/>
    </w:pPr>
    <w:rPr>
      <w:rFonts w:ascii="Mangal" w:hAnsi="Mangal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1" w:customStyle="1">
    <w:name w:val="Заглавие А4"/>
    <w:basedOn w:val="A4"/>
    <w:qFormat/>
    <w:pPr/>
    <w:rPr>
      <w:sz w:val="87"/>
    </w:rPr>
  </w:style>
  <w:style w:type="paragraph" w:styleId="42" w:customStyle="1">
    <w:name w:val="Заголовок А4"/>
    <w:basedOn w:val="A4"/>
    <w:qFormat/>
    <w:pPr/>
    <w:rPr>
      <w:sz w:val="48"/>
    </w:rPr>
  </w:style>
  <w:style w:type="paragraph" w:styleId="43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19" w:customStyle="1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Noto Sans"/>
      <w:color w:val="auto"/>
      <w:kern w:val="0"/>
      <w:sz w:val="36"/>
      <w:szCs w:val="24"/>
      <w:lang w:val="ru-RU" w:eastAsia="ru-RU" w:bidi="ar-SA"/>
    </w:rPr>
  </w:style>
  <w:style w:type="paragraph" w:styleId="Style20" w:customStyle="1">
    <w:name w:val="Фигуры"/>
    <w:basedOn w:val="Style19"/>
    <w:qFormat/>
    <w:pPr/>
    <w:rPr>
      <w:b/>
      <w:sz w:val="28"/>
    </w:rPr>
  </w:style>
  <w:style w:type="paragraph" w:styleId="Style21" w:customStyle="1">
    <w:name w:val="Заливка"/>
    <w:basedOn w:val="Style20"/>
    <w:qFormat/>
    <w:pPr/>
    <w:rPr/>
  </w:style>
  <w:style w:type="paragraph" w:styleId="Style22" w:customStyle="1">
    <w:name w:val="Заливка синим"/>
    <w:basedOn w:val="Style21"/>
    <w:qFormat/>
    <w:pPr/>
    <w:rPr>
      <w:color w:val="FFFFFF"/>
    </w:rPr>
  </w:style>
  <w:style w:type="paragraph" w:styleId="Style23" w:customStyle="1">
    <w:name w:val="Заливка зелёным"/>
    <w:basedOn w:val="Style21"/>
    <w:qFormat/>
    <w:pPr/>
    <w:rPr>
      <w:color w:val="FFFFFF"/>
    </w:rPr>
  </w:style>
  <w:style w:type="paragraph" w:styleId="Style24" w:customStyle="1">
    <w:name w:val="Заливка красным"/>
    <w:basedOn w:val="Style21"/>
    <w:qFormat/>
    <w:pPr/>
    <w:rPr>
      <w:color w:val="FFFFFF"/>
    </w:rPr>
  </w:style>
  <w:style w:type="paragraph" w:styleId="Style25" w:customStyle="1">
    <w:name w:val="Заливка жёлтым"/>
    <w:basedOn w:val="Style21"/>
    <w:qFormat/>
    <w:pPr/>
    <w:rPr>
      <w:color w:val="FFFFFF"/>
    </w:rPr>
  </w:style>
  <w:style w:type="paragraph" w:styleId="Style26" w:customStyle="1">
    <w:name w:val="Контур"/>
    <w:basedOn w:val="Style20"/>
    <w:qFormat/>
    <w:pPr/>
    <w:rPr/>
  </w:style>
  <w:style w:type="paragraph" w:styleId="Style27" w:customStyle="1">
    <w:name w:val="Контур синий"/>
    <w:basedOn w:val="Style26"/>
    <w:qFormat/>
    <w:pPr/>
    <w:rPr>
      <w:color w:val="355269"/>
    </w:rPr>
  </w:style>
  <w:style w:type="paragraph" w:styleId="Style28" w:customStyle="1">
    <w:name w:val="Контур зеленый"/>
    <w:basedOn w:val="Style26"/>
    <w:qFormat/>
    <w:pPr/>
    <w:rPr>
      <w:color w:val="127622"/>
    </w:rPr>
  </w:style>
  <w:style w:type="paragraph" w:styleId="Style29" w:customStyle="1">
    <w:name w:val="Контур красный"/>
    <w:basedOn w:val="Style26"/>
    <w:qFormat/>
    <w:pPr/>
    <w:rPr>
      <w:color w:val="C9211E"/>
    </w:rPr>
  </w:style>
  <w:style w:type="paragraph" w:styleId="Style30" w:customStyle="1">
    <w:name w:val="Контур жёлтый"/>
    <w:basedOn w:val="Style26"/>
    <w:qFormat/>
    <w:pPr/>
    <w:rPr>
      <w:color w:val="B47804"/>
    </w:rPr>
  </w:style>
  <w:style w:type="paragraph" w:styleId="Style31" w:customStyle="1">
    <w:name w:val="Линии"/>
    <w:basedOn w:val="Style19"/>
    <w:qFormat/>
    <w:pPr/>
    <w:rPr/>
  </w:style>
  <w:style w:type="paragraph" w:styleId="Style32" w:customStyle="1">
    <w:name w:val="Стрелки"/>
    <w:basedOn w:val="Style31"/>
    <w:qFormat/>
    <w:pPr/>
    <w:rPr/>
  </w:style>
  <w:style w:type="paragraph" w:styleId="Style33" w:customStyle="1">
    <w:name w:val="Штриховая линия"/>
    <w:basedOn w:val="Style31"/>
    <w:qFormat/>
    <w:pPr/>
    <w:rPr/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Noto Sans"/>
      <w:color w:val="auto"/>
      <w:kern w:val="2"/>
      <w:sz w:val="63"/>
      <w:szCs w:val="24"/>
      <w:lang w:val="ru-RU" w:eastAsia="ru-RU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Noto Sans"/>
      <w:color w:val="auto"/>
      <w:kern w:val="2"/>
      <w:sz w:val="88"/>
      <w:szCs w:val="24"/>
      <w:lang w:val="ru-RU" w:eastAsia="ru-RU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Noto Sans"/>
      <w:color w:val="auto"/>
      <w:kern w:val="2"/>
      <w:sz w:val="64"/>
      <w:szCs w:val="24"/>
      <w:lang w:val="ru-RU" w:eastAsia="ru-RU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Mangal" w:hAnsi="Mangal" w:eastAsia="Tahoma" w:cs="Noto Sans"/>
      <w:color w:val="auto"/>
      <w:kern w:val="2"/>
      <w:sz w:val="40"/>
      <w:szCs w:val="24"/>
      <w:lang w:val="ru-RU" w:eastAsia="ru-RU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ru-RU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Noto Sans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34" w:customStyle="1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ru-RU" w:bidi="ar-SA"/>
    </w:rPr>
  </w:style>
  <w:style w:type="paragraph" w:styleId="Style35" w:customStyle="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ru-RU" w:bidi="ar-SA"/>
    </w:rPr>
  </w:style>
  <w:style w:type="paragraph" w:styleId="Style36" w:customStyle="1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Mangal" w:hAnsi="Mangal" w:eastAsia="Tahoma" w:cs="Noto Sans"/>
      <w:color w:val="auto"/>
      <w:kern w:val="2"/>
      <w:sz w:val="40"/>
      <w:szCs w:val="24"/>
      <w:lang w:val="ru-RU" w:eastAsia="ru-RU" w:bidi="ar-SA"/>
    </w:rPr>
  </w:style>
  <w:style w:type="paragraph" w:styleId="11" w:customStyle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Noto Sans"/>
      <w:color w:val="auto"/>
      <w:kern w:val="2"/>
      <w:sz w:val="63"/>
      <w:szCs w:val="24"/>
      <w:lang w:val="ru-RU" w:eastAsia="ru-RU" w:bidi="ar-SA"/>
    </w:rPr>
  </w:style>
  <w:style w:type="paragraph" w:styleId="21" w:customStyle="1">
    <w:name w:val="Структура 2"/>
    <w:basedOn w:val="11"/>
    <w:qFormat/>
    <w:pPr>
      <w:spacing w:before="227" w:after="0"/>
    </w:pPr>
    <w:rPr>
      <w:sz w:val="56"/>
    </w:rPr>
  </w:style>
  <w:style w:type="paragraph" w:styleId="31" w:customStyle="1">
    <w:name w:val="Структура 3"/>
    <w:basedOn w:val="21"/>
    <w:qFormat/>
    <w:pPr>
      <w:spacing w:before="170" w:after="0"/>
    </w:pPr>
    <w:rPr>
      <w:sz w:val="48"/>
    </w:rPr>
  </w:style>
  <w:style w:type="paragraph" w:styleId="44" w:customStyle="1">
    <w:name w:val="Структура 4"/>
    <w:basedOn w:val="31"/>
    <w:qFormat/>
    <w:pPr>
      <w:spacing w:before="113" w:after="0"/>
    </w:pPr>
    <w:rPr>
      <w:sz w:val="40"/>
    </w:rPr>
  </w:style>
  <w:style w:type="paragraph" w:styleId="51" w:customStyle="1">
    <w:name w:val="Структура 5"/>
    <w:basedOn w:val="44"/>
    <w:qFormat/>
    <w:pPr>
      <w:spacing w:before="57" w:after="0"/>
    </w:pPr>
    <w:rPr/>
  </w:style>
  <w:style w:type="paragraph" w:styleId="61" w:customStyle="1">
    <w:name w:val="Структура 6"/>
    <w:basedOn w:val="51"/>
    <w:qFormat/>
    <w:pPr/>
    <w:rPr/>
  </w:style>
  <w:style w:type="paragraph" w:styleId="7" w:customStyle="1">
    <w:name w:val="Структура 7"/>
    <w:basedOn w:val="61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TitleContentLTGliederung1" w:customStyle="1">
    <w:name w:val="Title;Content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Noto Sans"/>
      <w:color w:val="auto"/>
      <w:kern w:val="2"/>
      <w:sz w:val="63"/>
      <w:szCs w:val="24"/>
      <w:lang w:val="ru-RU" w:eastAsia="ru-RU" w:bidi="ar-SA"/>
    </w:rPr>
  </w:style>
  <w:style w:type="paragraph" w:styleId="TitleContentLTGliederung2" w:customStyle="1">
    <w:name w:val="Title;Content~LT~Gliederung 2"/>
    <w:basedOn w:val="TitleContentLTGliederung1"/>
    <w:qFormat/>
    <w:pPr>
      <w:spacing w:before="227" w:after="0"/>
    </w:pPr>
    <w:rPr>
      <w:sz w:val="56"/>
    </w:rPr>
  </w:style>
  <w:style w:type="paragraph" w:styleId="TitleContentLTGliederung3" w:customStyle="1">
    <w:name w:val="Title;Content~LT~Gliederung 3"/>
    <w:basedOn w:val="TitleContentLTGliederung2"/>
    <w:qFormat/>
    <w:pPr>
      <w:spacing w:before="170" w:after="0"/>
    </w:pPr>
    <w:rPr>
      <w:sz w:val="48"/>
    </w:rPr>
  </w:style>
  <w:style w:type="paragraph" w:styleId="TitleContentLTGliederung4" w:customStyle="1">
    <w:name w:val="Title;Content~LT~Gliederung 4"/>
    <w:basedOn w:val="TitleContentLTGliederung3"/>
    <w:qFormat/>
    <w:pPr>
      <w:spacing w:before="113" w:after="0"/>
    </w:pPr>
    <w:rPr>
      <w:sz w:val="40"/>
    </w:rPr>
  </w:style>
  <w:style w:type="paragraph" w:styleId="TitleContentLTGliederung5" w:customStyle="1">
    <w:name w:val="Title;Content~LT~Gliederung 5"/>
    <w:basedOn w:val="TitleContentLTGliederung4"/>
    <w:qFormat/>
    <w:pPr>
      <w:spacing w:before="57" w:after="0"/>
    </w:pPr>
    <w:rPr/>
  </w:style>
  <w:style w:type="paragraph" w:styleId="TitleContentLTGliederung6" w:customStyle="1">
    <w:name w:val="Title;Content~LT~Gliederung 6"/>
    <w:basedOn w:val="TitleContentLTGliederung5"/>
    <w:qFormat/>
    <w:pPr/>
    <w:rPr/>
  </w:style>
  <w:style w:type="paragraph" w:styleId="TitleContentLTGliederung7" w:customStyle="1">
    <w:name w:val="Title;Content~LT~Gliederung 7"/>
    <w:basedOn w:val="TitleContentLTGliederung6"/>
    <w:qFormat/>
    <w:pPr/>
    <w:rPr/>
  </w:style>
  <w:style w:type="paragraph" w:styleId="TitleContentLTGliederung8" w:customStyle="1">
    <w:name w:val="Title;Content~LT~Gliederung 8"/>
    <w:basedOn w:val="TitleContentLTGliederung7"/>
    <w:qFormat/>
    <w:pPr/>
    <w:rPr/>
  </w:style>
  <w:style w:type="paragraph" w:styleId="TitleContentLTGliederung9" w:customStyle="1">
    <w:name w:val="Title;Content~LT~Gliederung 9"/>
    <w:basedOn w:val="TitleContentLTGliederung8"/>
    <w:qFormat/>
    <w:pPr/>
    <w:rPr/>
  </w:style>
  <w:style w:type="paragraph" w:styleId="TitleContentLTTitel" w:customStyle="1">
    <w:name w:val="Title;Content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Noto Sans"/>
      <w:color w:val="auto"/>
      <w:kern w:val="2"/>
      <w:sz w:val="88"/>
      <w:szCs w:val="24"/>
      <w:lang w:val="ru-RU" w:eastAsia="ru-RU" w:bidi="ar-SA"/>
    </w:rPr>
  </w:style>
  <w:style w:type="paragraph" w:styleId="TitleContentLTUntertitel" w:customStyle="1">
    <w:name w:val="Title;Content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Noto Sans"/>
      <w:color w:val="auto"/>
      <w:kern w:val="2"/>
      <w:sz w:val="64"/>
      <w:szCs w:val="24"/>
      <w:lang w:val="ru-RU" w:eastAsia="ru-RU" w:bidi="ar-SA"/>
    </w:rPr>
  </w:style>
  <w:style w:type="paragraph" w:styleId="TitleContentLTNotizen" w:customStyle="1">
    <w:name w:val="Title;Content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Mangal" w:hAnsi="Mangal" w:eastAsia="Tahoma" w:cs="Noto Sans"/>
      <w:color w:val="auto"/>
      <w:kern w:val="2"/>
      <w:sz w:val="40"/>
      <w:szCs w:val="24"/>
      <w:lang w:val="ru-RU" w:eastAsia="ru-RU" w:bidi="ar-SA"/>
    </w:rPr>
  </w:style>
  <w:style w:type="paragraph" w:styleId="TitleContentLTHintergrundobjekte" w:customStyle="1">
    <w:name w:val="Title;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ru-RU" w:bidi="ar-SA"/>
    </w:rPr>
  </w:style>
  <w:style w:type="paragraph" w:styleId="TitleContentLTHintergrund" w:customStyle="1">
    <w:name w:val="Title;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029A21-2541-46E2-8198-A70329F6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LibreOffice/7.1.3.2$Windows_X86_64 LibreOffice_project/47f78053abe362b9384784d31a6e56f8511eb1c1</Application>
  <AppVersion>15.0000</AppVersion>
  <Pages>1</Pages>
  <Words>395</Words>
  <Characters>2790</Characters>
  <CharactersWithSpaces>3179</CharactersWithSpaces>
  <Paragraphs>11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2025-03-07T12:02:00Z</dcterms:created>
  <dc:creator>Ksenia Romanova</dc:creator>
  <dc:description/>
  <dc:language>ru-RU</dc:language>
  <cp:lastModifiedBy/>
  <dcterms:modified xsi:type="dcterms:W3CDTF">2025-03-07T15:15:55Z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