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835EA92" w:rsidR="00130241" w:rsidRPr="00795194" w:rsidRDefault="002009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95194">
        <w:rPr>
          <w:b/>
          <w:color w:val="000000"/>
        </w:rPr>
        <w:t>Определение в</w:t>
      </w:r>
      <w:r w:rsidR="00BE413C" w:rsidRPr="00795194">
        <w:rPr>
          <w:b/>
          <w:color w:val="000000"/>
        </w:rPr>
        <w:t>лияния</w:t>
      </w:r>
      <w:r w:rsidRPr="00795194">
        <w:rPr>
          <w:b/>
          <w:color w:val="000000"/>
        </w:rPr>
        <w:t xml:space="preserve"> конформационной подвижности </w:t>
      </w:r>
      <w:r w:rsidR="00BE413C" w:rsidRPr="00795194">
        <w:rPr>
          <w:b/>
          <w:color w:val="000000"/>
        </w:rPr>
        <w:t>на</w:t>
      </w:r>
      <w:r w:rsidRPr="00795194">
        <w:rPr>
          <w:b/>
          <w:color w:val="000000"/>
        </w:rPr>
        <w:t xml:space="preserve"> фотофизические свойства белка </w:t>
      </w:r>
      <w:r w:rsidRPr="00795194">
        <w:rPr>
          <w:b/>
          <w:color w:val="000000"/>
          <w:lang w:val="en-US"/>
        </w:rPr>
        <w:t>EGFP</w:t>
      </w:r>
    </w:p>
    <w:p w14:paraId="00000002" w14:textId="4780D3E8" w:rsidR="00130241" w:rsidRPr="00795194" w:rsidRDefault="002009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795194">
        <w:rPr>
          <w:b/>
          <w:i/>
          <w:color w:val="000000"/>
        </w:rPr>
        <w:t>Аслоповский</w:t>
      </w:r>
      <w:proofErr w:type="spellEnd"/>
      <w:r w:rsidR="00EB1F49" w:rsidRPr="00795194">
        <w:rPr>
          <w:b/>
          <w:i/>
          <w:color w:val="000000"/>
        </w:rPr>
        <w:t xml:space="preserve"> </w:t>
      </w:r>
      <w:r w:rsidRPr="00795194">
        <w:rPr>
          <w:b/>
          <w:i/>
          <w:color w:val="000000"/>
        </w:rPr>
        <w:t>В</w:t>
      </w:r>
      <w:r w:rsidR="00EB1F49" w:rsidRPr="00795194">
        <w:rPr>
          <w:b/>
          <w:i/>
          <w:color w:val="000000"/>
        </w:rPr>
        <w:t>.</w:t>
      </w:r>
      <w:r w:rsidRPr="00795194">
        <w:rPr>
          <w:b/>
          <w:i/>
          <w:color w:val="000000"/>
        </w:rPr>
        <w:t>Р</w:t>
      </w:r>
      <w:r w:rsidR="00EB1F49" w:rsidRPr="00795194">
        <w:rPr>
          <w:b/>
          <w:i/>
          <w:color w:val="000000"/>
        </w:rPr>
        <w:t>.</w:t>
      </w:r>
    </w:p>
    <w:p w14:paraId="00000003" w14:textId="056C60B6" w:rsidR="00130241" w:rsidRPr="00795194" w:rsidRDefault="002009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95194">
        <w:rPr>
          <w:i/>
          <w:color w:val="000000"/>
        </w:rPr>
        <w:t>Аспирант 1 г/о</w:t>
      </w:r>
    </w:p>
    <w:p w14:paraId="00000005" w14:textId="7302A500" w:rsidR="00130241" w:rsidRPr="0079519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95194">
        <w:rPr>
          <w:i/>
          <w:color w:val="000000"/>
        </w:rPr>
        <w:t xml:space="preserve">Московский государственный университет имени </w:t>
      </w:r>
      <w:proofErr w:type="gramStart"/>
      <w:r w:rsidRPr="00795194">
        <w:rPr>
          <w:i/>
          <w:color w:val="000000"/>
        </w:rPr>
        <w:t>М.В.</w:t>
      </w:r>
      <w:proofErr w:type="gramEnd"/>
      <w:r w:rsidR="00921D45" w:rsidRPr="00795194">
        <w:rPr>
          <w:i/>
          <w:color w:val="000000"/>
        </w:rPr>
        <w:t xml:space="preserve"> </w:t>
      </w:r>
      <w:r w:rsidRPr="00795194">
        <w:rPr>
          <w:i/>
          <w:color w:val="000000"/>
        </w:rPr>
        <w:t>Ломоносова,</w:t>
      </w:r>
      <w:r w:rsidR="00AD7380" w:rsidRPr="00795194">
        <w:rPr>
          <w:i/>
          <w:color w:val="000000"/>
        </w:rPr>
        <w:t xml:space="preserve"> </w:t>
      </w:r>
      <w:r w:rsidR="00AD7380" w:rsidRPr="00795194">
        <w:rPr>
          <w:i/>
          <w:color w:val="000000"/>
        </w:rPr>
        <w:br/>
      </w:r>
      <w:r w:rsidR="00391C38" w:rsidRPr="00795194">
        <w:rPr>
          <w:i/>
          <w:color w:val="000000"/>
        </w:rPr>
        <w:t>химический</w:t>
      </w:r>
      <w:r w:rsidRPr="00795194">
        <w:rPr>
          <w:i/>
          <w:color w:val="000000"/>
        </w:rPr>
        <w:t xml:space="preserve"> факультет, Москва, Россия</w:t>
      </w:r>
    </w:p>
    <w:p w14:paraId="00000008" w14:textId="122FD5DF" w:rsidR="00130241" w:rsidRPr="0079519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95194">
        <w:rPr>
          <w:i/>
          <w:color w:val="000000"/>
          <w:lang w:val="en-US"/>
        </w:rPr>
        <w:t>E</w:t>
      </w:r>
      <w:r w:rsidR="003B76D6" w:rsidRPr="00795194">
        <w:rPr>
          <w:i/>
          <w:color w:val="000000"/>
        </w:rPr>
        <w:t>-</w:t>
      </w:r>
      <w:r w:rsidRPr="00795194">
        <w:rPr>
          <w:i/>
          <w:color w:val="000000"/>
          <w:lang w:val="en-US"/>
        </w:rPr>
        <w:t>mail</w:t>
      </w:r>
      <w:r w:rsidRPr="00795194">
        <w:rPr>
          <w:i/>
          <w:color w:val="000000"/>
        </w:rPr>
        <w:t xml:space="preserve">: </w:t>
      </w:r>
      <w:proofErr w:type="spellStart"/>
      <w:r w:rsidR="0020097E" w:rsidRPr="00795194">
        <w:rPr>
          <w:i/>
          <w:color w:val="000000"/>
          <w:u w:val="single"/>
          <w:lang w:val="en-US"/>
        </w:rPr>
        <w:t>aslopovskiyvladislav</w:t>
      </w:r>
      <w:proofErr w:type="spellEnd"/>
      <w:r w:rsidR="0020097E" w:rsidRPr="00795194">
        <w:rPr>
          <w:i/>
          <w:color w:val="000000"/>
          <w:u w:val="single"/>
        </w:rPr>
        <w:t>@</w:t>
      </w:r>
      <w:proofErr w:type="spellStart"/>
      <w:r w:rsidR="0020097E" w:rsidRPr="00795194">
        <w:rPr>
          <w:i/>
          <w:color w:val="000000"/>
          <w:u w:val="single"/>
          <w:lang w:val="en-US"/>
        </w:rPr>
        <w:t>gmail</w:t>
      </w:r>
      <w:proofErr w:type="spellEnd"/>
      <w:r w:rsidR="0020097E" w:rsidRPr="00795194">
        <w:rPr>
          <w:i/>
          <w:color w:val="000000"/>
          <w:u w:val="single"/>
        </w:rPr>
        <w:t>.</w:t>
      </w:r>
      <w:r w:rsidR="0020097E" w:rsidRPr="00795194">
        <w:rPr>
          <w:i/>
          <w:color w:val="000000"/>
          <w:u w:val="single"/>
          <w:lang w:val="en-US"/>
        </w:rPr>
        <w:t>com</w:t>
      </w:r>
    </w:p>
    <w:p w14:paraId="2672351A" w14:textId="4E9C62F4" w:rsidR="009D5A67" w:rsidRPr="00795194" w:rsidRDefault="009D5A67" w:rsidP="009D5A67">
      <w:pPr>
        <w:ind w:firstLine="567"/>
        <w:jc w:val="both"/>
        <w:rPr>
          <w:szCs w:val="28"/>
        </w:rPr>
      </w:pPr>
      <w:r w:rsidRPr="00795194">
        <w:rPr>
          <w:szCs w:val="28"/>
        </w:rPr>
        <w:t xml:space="preserve">В настоящее время активно развивается и применяется двухфотонная флуоресцентная микроскопия, которая имеет ряд преимуществ перед традиционной конфокальной. Яркость флуоресценции в этом случае зависит от сечения двухфотонного поглощения, поэтому расчет сечений двухфотонного поглощения флуоресцентных маркеров является важной задачей, равно как и моделирование спектров двухфотонного поглощения с корректным учетом </w:t>
      </w:r>
      <w:r w:rsidR="00795194" w:rsidRPr="00795194">
        <w:rPr>
          <w:szCs w:val="28"/>
        </w:rPr>
        <w:t xml:space="preserve">вкладов </w:t>
      </w:r>
      <w:r w:rsidRPr="00795194">
        <w:rPr>
          <w:szCs w:val="28"/>
        </w:rPr>
        <w:t>однородного и неоднородного уширени</w:t>
      </w:r>
      <w:r w:rsidR="00795194" w:rsidRPr="00795194">
        <w:rPr>
          <w:szCs w:val="28"/>
        </w:rPr>
        <w:t>я</w:t>
      </w:r>
      <w:r w:rsidRPr="00795194">
        <w:rPr>
          <w:szCs w:val="28"/>
        </w:rPr>
        <w:t xml:space="preserve">. Целью работы является </w:t>
      </w:r>
      <w:r w:rsidRPr="00795194">
        <w:rPr>
          <w:bCs/>
        </w:rPr>
        <w:t>исследование вклада неоднородного уширения в спектр двухфотонного поглощения</w:t>
      </w:r>
      <w:r w:rsidR="00795194" w:rsidRPr="00795194">
        <w:rPr>
          <w:bCs/>
        </w:rPr>
        <w:t xml:space="preserve"> флуоресцентного белка </w:t>
      </w:r>
      <w:r w:rsidRPr="00795194">
        <w:rPr>
          <w:bCs/>
          <w:lang w:val="en-US"/>
        </w:rPr>
        <w:t>EGFP</w:t>
      </w:r>
      <w:r w:rsidR="00D745D8" w:rsidRPr="00795194">
        <w:rPr>
          <w:bCs/>
        </w:rPr>
        <w:t>, активно применя</w:t>
      </w:r>
      <w:r w:rsidR="00795194" w:rsidRPr="00795194">
        <w:rPr>
          <w:bCs/>
        </w:rPr>
        <w:t xml:space="preserve">ющегося </w:t>
      </w:r>
      <w:r w:rsidR="00D745D8" w:rsidRPr="00795194">
        <w:rPr>
          <w:bCs/>
        </w:rPr>
        <w:t xml:space="preserve">в </w:t>
      </w:r>
      <w:proofErr w:type="spellStart"/>
      <w:r w:rsidR="00D745D8" w:rsidRPr="00795194">
        <w:rPr>
          <w:bCs/>
        </w:rPr>
        <w:t>биоимиджинге</w:t>
      </w:r>
      <w:proofErr w:type="spellEnd"/>
      <w:r w:rsidRPr="00795194">
        <w:rPr>
          <w:bCs/>
        </w:rPr>
        <w:t xml:space="preserve">, а также выявление </w:t>
      </w:r>
      <w:r w:rsidR="004D3D0A" w:rsidRPr="00795194">
        <w:rPr>
          <w:bCs/>
        </w:rPr>
        <w:t>конформационно подвижных остатков, существенно влияющих на величину сечения двухфотонного поглощения</w:t>
      </w:r>
      <w:r w:rsidR="00665358" w:rsidRPr="00795194">
        <w:rPr>
          <w:bCs/>
        </w:rPr>
        <w:t>.</w:t>
      </w:r>
    </w:p>
    <w:p w14:paraId="6088D750" w14:textId="77777777" w:rsidR="00DB2E46" w:rsidRDefault="00A36108" w:rsidP="00A361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95194">
        <w:rPr>
          <w:color w:val="000000"/>
        </w:rPr>
        <w:t xml:space="preserve">Для молекулярно-динамического моделирования конформационной подвижности активного центра EGFP использована </w:t>
      </w:r>
      <w:proofErr w:type="spellStart"/>
      <w:r w:rsidRPr="00795194">
        <w:rPr>
          <w:color w:val="000000"/>
        </w:rPr>
        <w:t>сольватированная</w:t>
      </w:r>
      <w:proofErr w:type="spellEnd"/>
      <w:r w:rsidRPr="00795194">
        <w:rPr>
          <w:color w:val="000000"/>
        </w:rPr>
        <w:t xml:space="preserve"> модель белка, основанная на кристаллографической структуре с PDB ID 1EMA. Молекулярно-динамическое моделирование системы проводили в NPT-ансамбле с периодическими граничными условиями при температуре 300 К с последующим охлаждением до </w:t>
      </w:r>
      <w:r w:rsidR="00007A30" w:rsidRPr="00795194">
        <w:rPr>
          <w:color w:val="000000"/>
        </w:rPr>
        <w:t>1</w:t>
      </w:r>
      <w:r w:rsidRPr="00795194">
        <w:rPr>
          <w:color w:val="000000"/>
        </w:rPr>
        <w:t xml:space="preserve"> К. Для исследования конформационного пространства активного центра вдоль молекулярно-динамической траектории с временным интервалом в 100 </w:t>
      </w:r>
      <w:proofErr w:type="spellStart"/>
      <w:r w:rsidRPr="00795194">
        <w:rPr>
          <w:color w:val="000000"/>
        </w:rPr>
        <w:t>пс</w:t>
      </w:r>
      <w:proofErr w:type="spellEnd"/>
      <w:r w:rsidRPr="00795194">
        <w:rPr>
          <w:color w:val="000000"/>
        </w:rPr>
        <w:t xml:space="preserve"> отобрано 100 геометрий системы; сольватная оболочка указанных структур удалена и проведена оптимизация геометрий методом КМ/ММ (PBE0/(</w:t>
      </w:r>
      <w:proofErr w:type="spellStart"/>
      <w:r w:rsidRPr="00795194">
        <w:rPr>
          <w:color w:val="000000"/>
        </w:rPr>
        <w:t>aug</w:t>
      </w:r>
      <w:proofErr w:type="spellEnd"/>
      <w:r w:rsidRPr="00795194">
        <w:rPr>
          <w:color w:val="000000"/>
        </w:rPr>
        <w:t>)-</w:t>
      </w:r>
      <w:proofErr w:type="spellStart"/>
      <w:r w:rsidRPr="00795194">
        <w:rPr>
          <w:color w:val="000000"/>
        </w:rPr>
        <w:t>cc-pVDZ</w:t>
      </w:r>
      <w:proofErr w:type="spellEnd"/>
      <w:r w:rsidRPr="00795194">
        <w:rPr>
          <w:color w:val="000000"/>
        </w:rPr>
        <w:t>//CHARMM) всех выбранных структур, включая охлажденную. Электронные энергии для состояний S</w:t>
      </w:r>
      <w:r w:rsidRPr="00795194">
        <w:rPr>
          <w:color w:val="000000"/>
          <w:vertAlign w:val="subscript"/>
        </w:rPr>
        <w:t>0</w:t>
      </w:r>
      <w:r w:rsidRPr="00795194">
        <w:rPr>
          <w:color w:val="000000"/>
        </w:rPr>
        <w:t xml:space="preserve"> и S</w:t>
      </w:r>
      <w:r w:rsidRPr="00795194">
        <w:rPr>
          <w:color w:val="000000"/>
          <w:vertAlign w:val="subscript"/>
        </w:rPr>
        <w:t>1</w:t>
      </w:r>
      <w:r w:rsidRPr="00795194">
        <w:rPr>
          <w:color w:val="000000"/>
        </w:rPr>
        <w:t xml:space="preserve"> рассчитаны на уровне XMCQDPT2[7]/SA(7)</w:t>
      </w:r>
      <w:r w:rsidR="00D30920" w:rsidRPr="00795194">
        <w:rPr>
          <w:color w:val="000000"/>
        </w:rPr>
        <w:t>-</w:t>
      </w:r>
      <w:proofErr w:type="gramStart"/>
      <w:r w:rsidRPr="00795194">
        <w:rPr>
          <w:color w:val="000000"/>
          <w:lang w:val="en-US"/>
        </w:rPr>
        <w:t>CASSCF</w:t>
      </w:r>
      <w:r w:rsidRPr="00795194">
        <w:rPr>
          <w:color w:val="000000"/>
        </w:rPr>
        <w:t>(</w:t>
      </w:r>
      <w:proofErr w:type="gramEnd"/>
      <w:r w:rsidRPr="00795194">
        <w:rPr>
          <w:color w:val="000000"/>
        </w:rPr>
        <w:t>14,13)/(</w:t>
      </w:r>
      <w:proofErr w:type="spellStart"/>
      <w:r w:rsidRPr="00795194">
        <w:rPr>
          <w:color w:val="000000"/>
          <w:lang w:val="en-US"/>
        </w:rPr>
        <w:t>aug</w:t>
      </w:r>
      <w:proofErr w:type="spellEnd"/>
      <w:r w:rsidRPr="00795194">
        <w:rPr>
          <w:color w:val="000000"/>
        </w:rPr>
        <w:t>)-</w:t>
      </w:r>
      <w:r w:rsidRPr="00795194">
        <w:rPr>
          <w:color w:val="000000"/>
          <w:lang w:val="en-US"/>
        </w:rPr>
        <w:t>cc</w:t>
      </w:r>
      <w:r w:rsidRPr="00795194">
        <w:rPr>
          <w:color w:val="000000"/>
        </w:rPr>
        <w:t>-</w:t>
      </w:r>
      <w:proofErr w:type="spellStart"/>
      <w:r w:rsidRPr="00795194">
        <w:rPr>
          <w:color w:val="000000"/>
          <w:lang w:val="en-US"/>
        </w:rPr>
        <w:t>pVDZ</w:t>
      </w:r>
      <w:proofErr w:type="spellEnd"/>
      <w:r w:rsidRPr="00795194">
        <w:rPr>
          <w:color w:val="000000"/>
        </w:rPr>
        <w:t>//</w:t>
      </w:r>
      <w:r w:rsidRPr="00795194">
        <w:rPr>
          <w:color w:val="000000"/>
          <w:lang w:val="en-US"/>
        </w:rPr>
        <w:t>EFP</w:t>
      </w:r>
      <w:r w:rsidRPr="00795194">
        <w:rPr>
          <w:color w:val="000000"/>
        </w:rPr>
        <w:t xml:space="preserve">. </w:t>
      </w:r>
    </w:p>
    <w:p w14:paraId="1BD24315" w14:textId="60FA6850" w:rsidR="00A36108" w:rsidRPr="00795194" w:rsidRDefault="00A36108" w:rsidP="00A361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795194">
        <w:rPr>
          <w:color w:val="000000"/>
        </w:rPr>
        <w:t>Для количественной оценки величины неоднородного уширения значения энерги</w:t>
      </w:r>
      <w:r w:rsidR="00DB2E46">
        <w:rPr>
          <w:color w:val="000000"/>
        </w:rPr>
        <w:t>й</w:t>
      </w:r>
      <w:r w:rsidRPr="00795194">
        <w:rPr>
          <w:color w:val="000000"/>
        </w:rPr>
        <w:t xml:space="preserve"> вертикального перехода аппроксимированы гауссовым распределением</w:t>
      </w:r>
      <w:r w:rsidR="00DB2E46">
        <w:rPr>
          <w:color w:val="000000"/>
        </w:rPr>
        <w:t xml:space="preserve">. </w:t>
      </w:r>
      <w:r w:rsidR="002355E0" w:rsidRPr="00795194">
        <w:rPr>
          <w:color w:val="000000"/>
        </w:rPr>
        <w:t xml:space="preserve">Полученное значение </w:t>
      </w:r>
      <w:r w:rsidR="00DB2E46" w:rsidRPr="00795194">
        <w:rPr>
          <w:color w:val="000000"/>
        </w:rPr>
        <w:t>полн</w:t>
      </w:r>
      <w:r w:rsidR="00DB2E46">
        <w:rPr>
          <w:color w:val="000000"/>
        </w:rPr>
        <w:t>ой</w:t>
      </w:r>
      <w:r w:rsidR="00DB2E46" w:rsidRPr="00795194">
        <w:rPr>
          <w:color w:val="000000"/>
        </w:rPr>
        <w:t xml:space="preserve"> ширин</w:t>
      </w:r>
      <w:r w:rsidR="00DB2E46">
        <w:rPr>
          <w:color w:val="000000"/>
        </w:rPr>
        <w:t>ы</w:t>
      </w:r>
      <w:r w:rsidR="00DB2E46" w:rsidRPr="00795194">
        <w:rPr>
          <w:color w:val="000000"/>
        </w:rPr>
        <w:t xml:space="preserve"> на половине высоты</w:t>
      </w:r>
      <w:r w:rsidR="00DB2E46" w:rsidRPr="00795194">
        <w:rPr>
          <w:color w:val="000000"/>
        </w:rPr>
        <w:t xml:space="preserve"> </w:t>
      </w:r>
      <w:r w:rsidR="00DB2E46">
        <w:rPr>
          <w:color w:val="000000"/>
        </w:rPr>
        <w:t>(</w:t>
      </w:r>
      <w:r w:rsidR="002355E0" w:rsidRPr="00795194">
        <w:rPr>
          <w:color w:val="000000"/>
        </w:rPr>
        <w:t>FWHM</w:t>
      </w:r>
      <w:r w:rsidR="00DB2E46">
        <w:rPr>
          <w:color w:val="000000"/>
        </w:rPr>
        <w:t>)</w:t>
      </w:r>
      <w:r w:rsidR="002355E0" w:rsidRPr="00795194">
        <w:rPr>
          <w:color w:val="000000"/>
        </w:rPr>
        <w:t xml:space="preserve"> оказалось равным 533 см</w:t>
      </w:r>
      <w:r w:rsidR="002355E0" w:rsidRPr="00795194">
        <w:rPr>
          <w:color w:val="000000"/>
          <w:vertAlign w:val="superscript"/>
        </w:rPr>
        <w:t>-1</w:t>
      </w:r>
      <w:r w:rsidR="002355E0" w:rsidRPr="00795194">
        <w:rPr>
          <w:color w:val="000000"/>
        </w:rPr>
        <w:t xml:space="preserve">, что отражает слабое отличие энергий вертикального перехода для различных </w:t>
      </w:r>
      <w:proofErr w:type="spellStart"/>
      <w:r w:rsidR="002355E0" w:rsidRPr="00795194">
        <w:rPr>
          <w:color w:val="000000"/>
        </w:rPr>
        <w:t>конформеров</w:t>
      </w:r>
      <w:proofErr w:type="spellEnd"/>
      <w:r w:rsidR="002355E0" w:rsidRPr="00795194">
        <w:rPr>
          <w:color w:val="000000"/>
        </w:rPr>
        <w:t xml:space="preserve"> EGFP. Таким образом, вклад неоднородного уширения оказывается значительно меньше вклада однородного. Данная оценка также позволяет построить спектр двухфотонного поглощения EGFP на основе расчета интенсивности вибронных переходов для одной (наиболее репрезентативной) структуры и уширения полученных линий гауссовыми функциями; при этом ширина используемых гауссовых функций является физически обоснованной и отражает вклад неоднородного уширения в спектр.</w:t>
      </w:r>
      <w:r w:rsidR="00795194">
        <w:rPr>
          <w:color w:val="000000"/>
        </w:rPr>
        <w:t xml:space="preserve"> </w:t>
      </w:r>
      <w:r w:rsidR="00D30920" w:rsidRPr="00795194">
        <w:rPr>
          <w:color w:val="000000"/>
        </w:rPr>
        <w:t xml:space="preserve">Кроме того, </w:t>
      </w:r>
      <w:r w:rsidR="00126C3C" w:rsidRPr="00795194">
        <w:rPr>
          <w:color w:val="000000"/>
        </w:rPr>
        <w:t xml:space="preserve">для полученной выборки в рамках подхода прямого суммирования по </w:t>
      </w:r>
      <w:r w:rsidR="009B148A" w:rsidRPr="00795194">
        <w:rPr>
          <w:color w:val="000000"/>
        </w:rPr>
        <w:t xml:space="preserve">первым семи электронным состояниям </w:t>
      </w:r>
      <w:r w:rsidR="00126C3C" w:rsidRPr="00795194">
        <w:rPr>
          <w:color w:val="000000"/>
        </w:rPr>
        <w:t xml:space="preserve">рассчитаны сечения двухфотонного поглощения. Показано влияние </w:t>
      </w:r>
      <w:r w:rsidR="006A48F0" w:rsidRPr="00795194">
        <w:rPr>
          <w:color w:val="000000"/>
        </w:rPr>
        <w:t>подвижности 145-го тирозина и трех молекул воды, находящихся в непосредственной близости от хромофора, на среднюю величину сечени</w:t>
      </w:r>
      <w:r w:rsidR="00795194">
        <w:rPr>
          <w:color w:val="000000"/>
        </w:rPr>
        <w:t>я</w:t>
      </w:r>
      <w:r w:rsidR="006A48F0" w:rsidRPr="00795194">
        <w:rPr>
          <w:color w:val="000000"/>
        </w:rPr>
        <w:t xml:space="preserve"> двухфотонного поглощения и энерги</w:t>
      </w:r>
      <w:r w:rsidR="00795194">
        <w:rPr>
          <w:color w:val="000000"/>
        </w:rPr>
        <w:t>ю</w:t>
      </w:r>
      <w:r w:rsidR="00A64D6A" w:rsidRPr="00795194">
        <w:rPr>
          <w:color w:val="000000"/>
        </w:rPr>
        <w:t xml:space="preserve"> вертикального перехода S</w:t>
      </w:r>
      <w:r w:rsidR="00A64D6A" w:rsidRPr="00795194">
        <w:rPr>
          <w:color w:val="000000"/>
          <w:vertAlign w:val="subscript"/>
        </w:rPr>
        <w:t>0</w:t>
      </w:r>
      <w:r w:rsidR="00A64D6A" w:rsidRPr="00795194">
        <w:rPr>
          <w:color w:val="000000"/>
        </w:rPr>
        <w:t xml:space="preserve"> → S</w:t>
      </w:r>
      <w:r w:rsidR="00A64D6A" w:rsidRPr="00795194">
        <w:rPr>
          <w:color w:val="000000"/>
          <w:vertAlign w:val="subscript"/>
        </w:rPr>
        <w:t>1</w:t>
      </w:r>
      <w:r w:rsidR="006A48F0" w:rsidRPr="00795194">
        <w:rPr>
          <w:color w:val="000000"/>
        </w:rPr>
        <w:t>.</w:t>
      </w:r>
      <w:r w:rsidR="00795194">
        <w:rPr>
          <w:color w:val="000000"/>
        </w:rPr>
        <w:t xml:space="preserve"> Показано, что данный эффект связан с влиянием электростатического поля на разницу постоянных дипольных моментов хромофора в состояниях </w:t>
      </w:r>
      <w:r w:rsidR="00795194" w:rsidRPr="00795194">
        <w:rPr>
          <w:color w:val="000000"/>
        </w:rPr>
        <w:t>S</w:t>
      </w:r>
      <w:r w:rsidR="00795194" w:rsidRPr="00795194">
        <w:rPr>
          <w:color w:val="000000"/>
          <w:vertAlign w:val="subscript"/>
        </w:rPr>
        <w:t>0</w:t>
      </w:r>
      <w:r w:rsidR="00795194" w:rsidRPr="00795194">
        <w:rPr>
          <w:color w:val="000000"/>
        </w:rPr>
        <w:t xml:space="preserve"> </w:t>
      </w:r>
      <w:r w:rsidR="00795194">
        <w:rPr>
          <w:color w:val="000000"/>
        </w:rPr>
        <w:t xml:space="preserve">и </w:t>
      </w:r>
      <w:r w:rsidR="00795194" w:rsidRPr="00795194">
        <w:rPr>
          <w:color w:val="000000"/>
        </w:rPr>
        <w:t>S</w:t>
      </w:r>
      <w:r w:rsidR="00795194" w:rsidRPr="00795194">
        <w:rPr>
          <w:color w:val="000000"/>
          <w:vertAlign w:val="subscript"/>
        </w:rPr>
        <w:t>1</w:t>
      </w:r>
      <w:r w:rsidR="00795194" w:rsidRPr="00795194">
        <w:rPr>
          <w:color w:val="000000"/>
        </w:rPr>
        <w:t>.</w:t>
      </w:r>
    </w:p>
    <w:p w14:paraId="79A325B3" w14:textId="4BE6AEA5" w:rsidR="00A36108" w:rsidRDefault="00A36108" w:rsidP="00A361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795194">
        <w:rPr>
          <w:i/>
          <w:iCs/>
          <w:color w:val="000000"/>
        </w:rPr>
        <w:t xml:space="preserve">Автор благодарен научному руководителю Боченковой </w:t>
      </w:r>
      <w:proofErr w:type="gramStart"/>
      <w:r w:rsidRPr="00795194">
        <w:rPr>
          <w:i/>
          <w:iCs/>
          <w:color w:val="000000"/>
        </w:rPr>
        <w:t>А.В.</w:t>
      </w:r>
      <w:proofErr w:type="gramEnd"/>
      <w:r w:rsidRPr="00795194">
        <w:rPr>
          <w:i/>
          <w:iCs/>
          <w:color w:val="000000"/>
        </w:rPr>
        <w:t xml:space="preserve"> Работа выполнена при поддержке гранта РНФ №22-13-00126 с использованием оборудования Центра коллективного пользования сверхвысокопроизводительными вычислительными ресурсами МГУ имени М.В. Ломоносова, а также вычислительного кластера лаборатории квантовой фотодинамики</w:t>
      </w:r>
      <w:r w:rsidR="00DB2E46">
        <w:rPr>
          <w:i/>
          <w:iCs/>
          <w:color w:val="000000"/>
        </w:rPr>
        <w:t xml:space="preserve"> (</w:t>
      </w:r>
      <w:r w:rsidR="00DB2E46">
        <w:rPr>
          <w:i/>
          <w:iCs/>
          <w:color w:val="000000"/>
          <w:lang w:val="en-US"/>
        </w:rPr>
        <w:t>RSC</w:t>
      </w:r>
      <w:r w:rsidR="00DB2E46" w:rsidRPr="00DB2E46">
        <w:rPr>
          <w:i/>
          <w:iCs/>
          <w:color w:val="000000"/>
        </w:rPr>
        <w:t xml:space="preserve"> </w:t>
      </w:r>
      <w:r w:rsidR="00DB2E46">
        <w:rPr>
          <w:i/>
          <w:iCs/>
          <w:color w:val="000000"/>
          <w:lang w:val="en-US"/>
        </w:rPr>
        <w:t>Tornado</w:t>
      </w:r>
      <w:r w:rsidR="00DB2E46">
        <w:rPr>
          <w:i/>
          <w:iCs/>
          <w:color w:val="000000"/>
        </w:rPr>
        <w:t>)</w:t>
      </w:r>
      <w:r w:rsidRPr="00795194">
        <w:rPr>
          <w:i/>
          <w:iCs/>
          <w:color w:val="000000"/>
        </w:rPr>
        <w:t>, закупленного по программе развития МГУ имени М.В. Ломоносова.</w:t>
      </w:r>
    </w:p>
    <w:p w14:paraId="3486C755" w14:textId="02EA38EB" w:rsidR="00116478" w:rsidRPr="00A36108" w:rsidRDefault="00116478" w:rsidP="00A361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sectPr w:rsidR="00116478" w:rsidRPr="00A3610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513017">
    <w:abstractNumId w:val="2"/>
  </w:num>
  <w:num w:numId="2" w16cid:durableId="1327395486">
    <w:abstractNumId w:val="3"/>
  </w:num>
  <w:num w:numId="3" w16cid:durableId="222450673">
    <w:abstractNumId w:val="1"/>
  </w:num>
  <w:num w:numId="4" w16cid:durableId="1870488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7A30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26C3C"/>
    <w:rsid w:val="00130241"/>
    <w:rsid w:val="001E61C2"/>
    <w:rsid w:val="001F0493"/>
    <w:rsid w:val="0020097E"/>
    <w:rsid w:val="0022260A"/>
    <w:rsid w:val="002264EE"/>
    <w:rsid w:val="0023307C"/>
    <w:rsid w:val="002355E0"/>
    <w:rsid w:val="002D5DB3"/>
    <w:rsid w:val="0031361E"/>
    <w:rsid w:val="0033336C"/>
    <w:rsid w:val="00391C38"/>
    <w:rsid w:val="003B76D6"/>
    <w:rsid w:val="003E2601"/>
    <w:rsid w:val="003F4E6B"/>
    <w:rsid w:val="004A26A3"/>
    <w:rsid w:val="004D3D0A"/>
    <w:rsid w:val="004F0EDF"/>
    <w:rsid w:val="00522BF1"/>
    <w:rsid w:val="00590166"/>
    <w:rsid w:val="005D022B"/>
    <w:rsid w:val="005E5BE9"/>
    <w:rsid w:val="00665358"/>
    <w:rsid w:val="0069427D"/>
    <w:rsid w:val="006A48F0"/>
    <w:rsid w:val="006F7A19"/>
    <w:rsid w:val="007213E1"/>
    <w:rsid w:val="00775389"/>
    <w:rsid w:val="00795194"/>
    <w:rsid w:val="00797838"/>
    <w:rsid w:val="007C36D8"/>
    <w:rsid w:val="007F2744"/>
    <w:rsid w:val="008931BE"/>
    <w:rsid w:val="008B2530"/>
    <w:rsid w:val="008C67E3"/>
    <w:rsid w:val="00914205"/>
    <w:rsid w:val="00921D45"/>
    <w:rsid w:val="009426C0"/>
    <w:rsid w:val="00976F87"/>
    <w:rsid w:val="00980A65"/>
    <w:rsid w:val="009A66DB"/>
    <w:rsid w:val="009B148A"/>
    <w:rsid w:val="009B2F80"/>
    <w:rsid w:val="009B3300"/>
    <w:rsid w:val="009D5A67"/>
    <w:rsid w:val="009F3380"/>
    <w:rsid w:val="00A02163"/>
    <w:rsid w:val="00A314FE"/>
    <w:rsid w:val="00A36108"/>
    <w:rsid w:val="00A64D6A"/>
    <w:rsid w:val="00AC2B39"/>
    <w:rsid w:val="00AD7380"/>
    <w:rsid w:val="00BE413C"/>
    <w:rsid w:val="00BF36F8"/>
    <w:rsid w:val="00BF4622"/>
    <w:rsid w:val="00C167F2"/>
    <w:rsid w:val="00C60D6B"/>
    <w:rsid w:val="00C844E2"/>
    <w:rsid w:val="00CD00B1"/>
    <w:rsid w:val="00D22306"/>
    <w:rsid w:val="00D30920"/>
    <w:rsid w:val="00D42542"/>
    <w:rsid w:val="00D745D8"/>
    <w:rsid w:val="00D8121C"/>
    <w:rsid w:val="00DB2E46"/>
    <w:rsid w:val="00E22189"/>
    <w:rsid w:val="00E74069"/>
    <w:rsid w:val="00E81D35"/>
    <w:rsid w:val="00E830F6"/>
    <w:rsid w:val="00EA7934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Анастасия Боченкова</cp:lastModifiedBy>
  <cp:revision>29</cp:revision>
  <dcterms:created xsi:type="dcterms:W3CDTF">2024-12-16T00:35:00Z</dcterms:created>
  <dcterms:modified xsi:type="dcterms:W3CDTF">2025-03-03T15:31:00Z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