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91EF5" w14:textId="3D75DA00" w:rsidR="00A70FFA" w:rsidRPr="00875851" w:rsidRDefault="00A70FFA" w:rsidP="00E43DAC">
      <w:pPr>
        <w:jc w:val="center"/>
        <w:rPr>
          <w:b/>
          <w:bCs/>
          <w:color w:val="000000"/>
        </w:rPr>
      </w:pPr>
      <w:r w:rsidRPr="00875851">
        <w:rPr>
          <w:b/>
          <w:bCs/>
          <w:color w:val="000000"/>
        </w:rPr>
        <w:t xml:space="preserve">Фотокаталитическое окисление дибутилсульфида в присутствии тетраарилпорфирината </w:t>
      </w:r>
      <w:r w:rsidRPr="0052040D">
        <w:rPr>
          <w:b/>
          <w:bCs/>
          <w:color w:val="000000"/>
        </w:rPr>
        <w:t>индия(</w:t>
      </w:r>
      <w:r w:rsidRPr="0052040D">
        <w:rPr>
          <w:b/>
          <w:bCs/>
          <w:color w:val="000000"/>
          <w:lang w:val="en-US"/>
        </w:rPr>
        <w:t>III</w:t>
      </w:r>
      <w:r w:rsidRPr="0052040D">
        <w:rPr>
          <w:b/>
          <w:bCs/>
          <w:color w:val="000000"/>
        </w:rPr>
        <w:t>)</w:t>
      </w:r>
    </w:p>
    <w:p w14:paraId="00000002" w14:textId="5262F553" w:rsidR="00130241" w:rsidRPr="00860E32" w:rsidRDefault="00A70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2040D">
        <w:rPr>
          <w:b/>
          <w:bCs/>
          <w:i/>
          <w:iCs/>
          <w:color w:val="000000"/>
        </w:rPr>
        <w:t>Олейникова В.А.</w:t>
      </w:r>
      <w:r w:rsidRPr="0052040D">
        <w:rPr>
          <w:b/>
          <w:bCs/>
          <w:i/>
          <w:iCs/>
          <w:color w:val="000000"/>
          <w:vertAlign w:val="superscript"/>
        </w:rPr>
        <w:t>1</w:t>
      </w:r>
    </w:p>
    <w:p w14:paraId="00000003" w14:textId="73FBD8F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70FF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A70FFA">
        <w:rPr>
          <w:i/>
          <w:color w:val="000000"/>
        </w:rPr>
        <w:t>бакалавриата</w:t>
      </w:r>
    </w:p>
    <w:p w14:paraId="34FE0364" w14:textId="320FB919" w:rsidR="00A70FFA" w:rsidRPr="00A70FFA" w:rsidRDefault="00EB1F49" w:rsidP="00B01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14"/>
        </w:rPr>
      </w:pPr>
      <w:r w:rsidRPr="00A70FFA">
        <w:rPr>
          <w:i/>
          <w:color w:val="000000"/>
          <w:vertAlign w:val="superscript"/>
        </w:rPr>
        <w:t>1</w:t>
      </w:r>
      <w:r w:rsidR="00A70FFA" w:rsidRPr="00A70FFA">
        <w:rPr>
          <w:i/>
          <w:color w:val="000000"/>
          <w:spacing w:val="-14"/>
        </w:rPr>
        <w:t>МИРЭА – Российский технологический университет,</w:t>
      </w:r>
    </w:p>
    <w:p w14:paraId="0FD4DA4A" w14:textId="7A8108D9" w:rsidR="00A70FFA" w:rsidRPr="00A70FFA" w:rsidRDefault="00A70FFA" w:rsidP="00B01828">
      <w:pPr>
        <w:pStyle w:val="ab"/>
        <w:spacing w:line="240" w:lineRule="auto"/>
        <w:ind w:left="3" w:hanging="3"/>
        <w:jc w:val="center"/>
        <w:rPr>
          <w:bCs/>
          <w:i/>
          <w:iCs/>
          <w:sz w:val="24"/>
          <w:lang w:eastAsia="ru-RU"/>
        </w:rPr>
      </w:pPr>
      <w:r w:rsidRPr="00A70FFA">
        <w:rPr>
          <w:bCs/>
          <w:i/>
          <w:iCs/>
          <w:sz w:val="24"/>
          <w:lang w:eastAsia="ru-RU"/>
        </w:rPr>
        <w:t>Институт тонких химических технологий имени М.В. Ломоносова</w:t>
      </w:r>
      <w:r>
        <w:rPr>
          <w:bCs/>
          <w:i/>
          <w:iCs/>
          <w:sz w:val="24"/>
          <w:lang w:eastAsia="ru-RU"/>
        </w:rPr>
        <w:t>, Москва, Россия</w:t>
      </w:r>
    </w:p>
    <w:p w14:paraId="00000008" w14:textId="302A1A9C" w:rsidR="00130241" w:rsidRPr="00A67E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52040D">
        <w:rPr>
          <w:i/>
          <w:color w:val="000000"/>
          <w:lang w:val="en-US"/>
        </w:rPr>
        <w:t>E</w:t>
      </w:r>
      <w:r w:rsidR="003B76D6" w:rsidRPr="0052040D">
        <w:rPr>
          <w:i/>
          <w:color w:val="000000"/>
        </w:rPr>
        <w:t>-</w:t>
      </w:r>
      <w:r w:rsidRPr="0052040D">
        <w:rPr>
          <w:i/>
          <w:color w:val="000000"/>
          <w:lang w:val="en-US"/>
        </w:rPr>
        <w:t>mail</w:t>
      </w:r>
      <w:r w:rsidR="00A70FFA" w:rsidRPr="0052040D">
        <w:rPr>
          <w:i/>
          <w:color w:val="000000"/>
        </w:rPr>
        <w:t>:</w:t>
      </w:r>
      <w:r w:rsidR="00A70FFA" w:rsidRPr="00A67ED8">
        <w:rPr>
          <w:i/>
          <w:color w:val="000000"/>
        </w:rPr>
        <w:t xml:space="preserve"> </w:t>
      </w:r>
      <w:r w:rsidR="005E04DF" w:rsidRPr="005E04DF">
        <w:rPr>
          <w:i/>
          <w:color w:val="000000"/>
          <w:u w:val="single"/>
          <w:lang w:val="en-US"/>
        </w:rPr>
        <w:t>oleinikova</w:t>
      </w:r>
      <w:r w:rsidR="005E04DF" w:rsidRPr="00A67ED8">
        <w:rPr>
          <w:i/>
          <w:color w:val="000000"/>
          <w:u w:val="single"/>
        </w:rPr>
        <w:t>2311@</w:t>
      </w:r>
      <w:r w:rsidR="005E04DF" w:rsidRPr="005E04DF">
        <w:rPr>
          <w:i/>
          <w:color w:val="000000"/>
          <w:u w:val="single"/>
          <w:lang w:val="en-US"/>
        </w:rPr>
        <w:t>mail</w:t>
      </w:r>
      <w:r w:rsidR="005E04DF" w:rsidRPr="00A67ED8">
        <w:rPr>
          <w:i/>
          <w:color w:val="000000"/>
          <w:u w:val="single"/>
        </w:rPr>
        <w:t>.</w:t>
      </w:r>
      <w:r w:rsidR="005E04DF" w:rsidRPr="005E04DF">
        <w:rPr>
          <w:i/>
          <w:color w:val="000000"/>
          <w:u w:val="single"/>
          <w:lang w:val="en-US"/>
        </w:rPr>
        <w:t>ru</w:t>
      </w:r>
    </w:p>
    <w:p w14:paraId="42A87DDF" w14:textId="77777777" w:rsidR="005E04DF" w:rsidRPr="00A67ED8" w:rsidRDefault="005E0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D811AE7" w14:textId="608C3CC8" w:rsidR="00E43DAC" w:rsidRDefault="00B0182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Реакции окисления представляют собой ключевой класс химических преобразований, широко применяемый в органическом синтезе</w:t>
      </w:r>
      <w:r w:rsidR="00A52BB1">
        <w:rPr>
          <w:shd w:val="clear" w:color="auto" w:fill="FFFFFF"/>
        </w:rPr>
        <w:t>. Данные реакции можно осуществлять с применением порфириновых фотокатализаторов</w:t>
      </w:r>
      <w:r w:rsidR="00B51604">
        <w:rPr>
          <w:shd w:val="clear" w:color="auto" w:fill="FFFFFF"/>
        </w:rPr>
        <w:t xml:space="preserve"> </w:t>
      </w:r>
      <w:r w:rsidR="00B51604" w:rsidRPr="00A67ED8">
        <w:rPr>
          <w:shd w:val="clear" w:color="auto" w:fill="FFFFFF"/>
        </w:rPr>
        <w:t>[1]</w:t>
      </w:r>
      <w:r w:rsidR="00A52BB1">
        <w:rPr>
          <w:shd w:val="clear" w:color="auto" w:fill="FFFFFF"/>
        </w:rPr>
        <w:t xml:space="preserve">. </w:t>
      </w:r>
      <w:r w:rsidR="00FB6F5A" w:rsidRPr="0052040D">
        <w:rPr>
          <w:shd w:val="clear" w:color="auto" w:fill="FFFFFF"/>
        </w:rPr>
        <w:t>Б</w:t>
      </w:r>
      <w:r w:rsidR="00A52BB1" w:rsidRPr="0052040D">
        <w:rPr>
          <w:shd w:val="clear" w:color="auto" w:fill="FFFFFF"/>
        </w:rPr>
        <w:t>лагодаря</w:t>
      </w:r>
      <w:r w:rsidR="00A52BB1" w:rsidRPr="00A52BB1">
        <w:rPr>
          <w:shd w:val="clear" w:color="auto" w:fill="FFFFFF"/>
        </w:rPr>
        <w:t xml:space="preserve"> своей обширной сопряжённой полиароматической системе </w:t>
      </w:r>
      <w:r w:rsidR="00FB6F5A" w:rsidRPr="0052040D">
        <w:rPr>
          <w:shd w:val="clear" w:color="auto" w:fill="FFFFFF"/>
        </w:rPr>
        <w:t>порфирины</w:t>
      </w:r>
      <w:r w:rsidR="00FB6F5A">
        <w:rPr>
          <w:shd w:val="clear" w:color="auto" w:fill="FFFFFF"/>
        </w:rPr>
        <w:t xml:space="preserve"> </w:t>
      </w:r>
      <w:r w:rsidR="00A52BB1" w:rsidRPr="00A52BB1">
        <w:rPr>
          <w:shd w:val="clear" w:color="auto" w:fill="FFFFFF"/>
        </w:rPr>
        <w:t xml:space="preserve">обладают уникальными оптическими и электронными свойствами, </w:t>
      </w:r>
      <w:r w:rsidR="00A52BB1">
        <w:rPr>
          <w:shd w:val="clear" w:color="auto" w:fill="FFFFFF"/>
        </w:rPr>
        <w:t>которые способны</w:t>
      </w:r>
      <w:r w:rsidR="00A52BB1" w:rsidRPr="00A52BB1">
        <w:rPr>
          <w:shd w:val="clear" w:color="auto" w:fill="FFFFFF"/>
        </w:rPr>
        <w:t xml:space="preserve"> передавать энергию и электроны</w:t>
      </w:r>
      <w:r w:rsidR="00A52BB1">
        <w:rPr>
          <w:shd w:val="clear" w:color="auto" w:fill="FFFFFF"/>
        </w:rPr>
        <w:t xml:space="preserve"> </w:t>
      </w:r>
      <w:r w:rsidR="00A52BB1" w:rsidRPr="00A52BB1">
        <w:rPr>
          <w:shd w:val="clear" w:color="auto" w:fill="FFFFFF"/>
        </w:rPr>
        <w:t>при фотовозбуждении</w:t>
      </w:r>
      <w:r w:rsidR="00A52BB1">
        <w:rPr>
          <w:shd w:val="clear" w:color="auto" w:fill="FFFFFF"/>
        </w:rPr>
        <w:t xml:space="preserve"> </w:t>
      </w:r>
      <w:r w:rsidR="00A52BB1" w:rsidRPr="00A52BB1">
        <w:rPr>
          <w:shd w:val="clear" w:color="auto" w:fill="FFFFFF"/>
        </w:rPr>
        <w:t>молекулярному кислороду, что приводит к образованию его активных форм</w:t>
      </w:r>
      <w:r w:rsidR="00B23075" w:rsidRPr="00B23075">
        <w:rPr>
          <w:shd w:val="clear" w:color="auto" w:fill="FFFFFF"/>
        </w:rPr>
        <w:t xml:space="preserve"> [2]</w:t>
      </w:r>
      <w:r w:rsidR="00A52BB1" w:rsidRPr="00A52BB1">
        <w:rPr>
          <w:shd w:val="clear" w:color="auto" w:fill="FFFFFF"/>
        </w:rPr>
        <w:t>.</w:t>
      </w:r>
      <w:r w:rsidR="00A52BB1">
        <w:rPr>
          <w:shd w:val="clear" w:color="auto" w:fill="FFFFFF"/>
        </w:rPr>
        <w:t xml:space="preserve"> </w:t>
      </w:r>
      <w:r w:rsidR="004D7D80">
        <w:rPr>
          <w:shd w:val="clear" w:color="auto" w:fill="FFFFFF"/>
        </w:rPr>
        <w:t xml:space="preserve"> Это </w:t>
      </w:r>
      <w:r w:rsidR="004D7D80" w:rsidRPr="004D7D80">
        <w:rPr>
          <w:shd w:val="clear" w:color="auto" w:fill="FFFFFF"/>
        </w:rPr>
        <w:t>позволяет рассматривать порфирин</w:t>
      </w:r>
      <w:r w:rsidR="004D7D80">
        <w:rPr>
          <w:shd w:val="clear" w:color="auto" w:fill="FFFFFF"/>
        </w:rPr>
        <w:t>ы</w:t>
      </w:r>
      <w:r w:rsidR="004D7D80" w:rsidRPr="004D7D80">
        <w:rPr>
          <w:shd w:val="clear" w:color="auto" w:fill="FFFFFF"/>
        </w:rPr>
        <w:t xml:space="preserve"> в качестве перспективных фотокатализаторов окисления</w:t>
      </w:r>
      <w:r w:rsidR="00D53DA7">
        <w:rPr>
          <w:shd w:val="clear" w:color="auto" w:fill="FFFFFF"/>
        </w:rPr>
        <w:t>.</w:t>
      </w:r>
    </w:p>
    <w:p w14:paraId="56B90758" w14:textId="5F0E89AA" w:rsidR="00D53DA7" w:rsidRPr="00E43DAC" w:rsidRDefault="00DF0BEF" w:rsidP="00E43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A20A55">
        <w:rPr>
          <w:shd w:val="clear" w:color="auto" w:fill="FFFFFF"/>
        </w:rPr>
        <w:t>астоящ</w:t>
      </w:r>
      <w:r w:rsidR="0052040D">
        <w:rPr>
          <w:shd w:val="clear" w:color="auto" w:fill="FFFFFF"/>
        </w:rPr>
        <w:t xml:space="preserve">ая работа </w:t>
      </w:r>
      <w:r>
        <w:rPr>
          <w:shd w:val="clear" w:color="auto" w:fill="FFFFFF"/>
        </w:rPr>
        <w:t xml:space="preserve">посвящена </w:t>
      </w:r>
      <w:r w:rsidRPr="0052040D">
        <w:rPr>
          <w:shd w:val="clear" w:color="auto" w:fill="FFFFFF"/>
        </w:rPr>
        <w:t>исследованию</w:t>
      </w:r>
      <w:r w:rsidR="00BB3C9F" w:rsidRPr="0052040D">
        <w:rPr>
          <w:shd w:val="clear" w:color="auto" w:fill="FFFFFF"/>
        </w:rPr>
        <w:t xml:space="preserve"> </w:t>
      </w:r>
      <w:r w:rsidR="00A20A55" w:rsidRPr="0052040D">
        <w:rPr>
          <w:shd w:val="clear" w:color="auto" w:fill="FFFFFF"/>
        </w:rPr>
        <w:t>5,</w:t>
      </w:r>
      <w:r w:rsidR="00A20A55" w:rsidRPr="00A20A55">
        <w:rPr>
          <w:shd w:val="clear" w:color="auto" w:fill="FFFFFF"/>
        </w:rPr>
        <w:t>10,15,20-тетра(4-бутоксифенил)порфиринат</w:t>
      </w:r>
      <w:r w:rsidR="00A20A55">
        <w:rPr>
          <w:shd w:val="clear" w:color="auto" w:fill="FFFFFF"/>
        </w:rPr>
        <w:t>а</w:t>
      </w:r>
      <w:r w:rsidR="00A20A55" w:rsidRPr="00A20A55">
        <w:rPr>
          <w:shd w:val="clear" w:color="auto" w:fill="FFFFFF"/>
        </w:rPr>
        <w:t xml:space="preserve"> индия(III) (</w:t>
      </w:r>
      <w:r w:rsidR="00A20A55" w:rsidRPr="00A20A55">
        <w:rPr>
          <w:b/>
          <w:bCs/>
          <w:shd w:val="clear" w:color="auto" w:fill="FFFFFF"/>
        </w:rPr>
        <w:t>In TBPP</w:t>
      </w:r>
      <w:r w:rsidR="00A20A55" w:rsidRPr="00A20A55">
        <w:rPr>
          <w:shd w:val="clear" w:color="auto" w:fill="FFFFFF"/>
        </w:rPr>
        <w:t>)</w:t>
      </w:r>
      <w:r w:rsidR="004D7D80">
        <w:rPr>
          <w:shd w:val="clear" w:color="auto" w:fill="FFFFFF"/>
        </w:rPr>
        <w:t xml:space="preserve"> </w:t>
      </w:r>
      <w:r w:rsidR="00A20A55">
        <w:rPr>
          <w:shd w:val="clear" w:color="auto" w:fill="FFFFFF"/>
        </w:rPr>
        <w:t>в</w:t>
      </w:r>
      <w:r>
        <w:rPr>
          <w:shd w:val="clear" w:color="auto" w:fill="FFFFFF"/>
        </w:rPr>
        <w:t xml:space="preserve"> качестве </w:t>
      </w:r>
      <w:r w:rsidRPr="0052040D">
        <w:rPr>
          <w:shd w:val="clear" w:color="auto" w:fill="FFFFFF"/>
        </w:rPr>
        <w:t>фотокатализатора</w:t>
      </w:r>
      <w:r w:rsidR="0065244C" w:rsidRPr="0052040D">
        <w:rPr>
          <w:shd w:val="clear" w:color="auto" w:fill="FFFFFF"/>
        </w:rPr>
        <w:t xml:space="preserve"> окисления дибутилсульфида (</w:t>
      </w:r>
      <w:r w:rsidR="0065244C" w:rsidRPr="0052040D">
        <w:rPr>
          <w:shd w:val="clear" w:color="auto" w:fill="FFFFFF"/>
          <w:lang w:val="en-US"/>
        </w:rPr>
        <w:t>Bu</w:t>
      </w:r>
      <w:r w:rsidR="0065244C" w:rsidRPr="0052040D">
        <w:rPr>
          <w:shd w:val="clear" w:color="auto" w:fill="FFFFFF"/>
          <w:vertAlign w:val="subscript"/>
        </w:rPr>
        <w:t>2</w:t>
      </w:r>
      <w:r w:rsidR="0065244C" w:rsidRPr="0052040D">
        <w:rPr>
          <w:shd w:val="clear" w:color="auto" w:fill="FFFFFF"/>
          <w:lang w:val="en-US"/>
        </w:rPr>
        <w:t>S</w:t>
      </w:r>
      <w:r w:rsidR="0065244C" w:rsidRPr="0052040D">
        <w:rPr>
          <w:shd w:val="clear" w:color="auto" w:fill="FFFFFF"/>
        </w:rPr>
        <w:t>) до дибутилсульфоксида (</w:t>
      </w:r>
      <w:r w:rsidR="0065244C" w:rsidRPr="0052040D">
        <w:rPr>
          <w:shd w:val="clear" w:color="auto" w:fill="FFFFFF"/>
          <w:lang w:val="en-US"/>
        </w:rPr>
        <w:t>Bu</w:t>
      </w:r>
      <w:r w:rsidR="0065244C" w:rsidRPr="0052040D">
        <w:rPr>
          <w:shd w:val="clear" w:color="auto" w:fill="FFFFFF"/>
          <w:vertAlign w:val="subscript"/>
        </w:rPr>
        <w:t>2</w:t>
      </w:r>
      <w:r w:rsidR="0065244C" w:rsidRPr="0052040D">
        <w:rPr>
          <w:shd w:val="clear" w:color="auto" w:fill="FFFFFF"/>
          <w:lang w:val="en-US"/>
        </w:rPr>
        <w:t>SO</w:t>
      </w:r>
      <w:r w:rsidR="0065244C" w:rsidRPr="0052040D">
        <w:rPr>
          <w:shd w:val="clear" w:color="auto" w:fill="FFFFFF"/>
        </w:rPr>
        <w:t>)</w:t>
      </w:r>
      <w:r w:rsidRPr="0052040D">
        <w:rPr>
          <w:shd w:val="clear" w:color="auto" w:fill="FFFFFF"/>
        </w:rPr>
        <w:t xml:space="preserve">. </w:t>
      </w:r>
      <w:r w:rsidR="005E04DF" w:rsidRPr="0052040D">
        <w:t xml:space="preserve">В ходе </w:t>
      </w:r>
      <w:r w:rsidR="005E04DF" w:rsidRPr="0052040D">
        <w:rPr>
          <w:shd w:val="clear" w:color="auto" w:fill="FFFFFF"/>
        </w:rPr>
        <w:t>данной работы проанализировано</w:t>
      </w:r>
      <w:r w:rsidR="006526E3" w:rsidRPr="0052040D">
        <w:rPr>
          <w:shd w:val="clear" w:color="auto" w:fill="FFFFFF"/>
        </w:rPr>
        <w:t xml:space="preserve"> </w:t>
      </w:r>
      <w:r w:rsidR="005E04DF" w:rsidRPr="0052040D">
        <w:rPr>
          <w:shd w:val="clear" w:color="auto" w:fill="FFFFFF"/>
        </w:rPr>
        <w:t xml:space="preserve">влияние загрузки катализатора на конверсию </w:t>
      </w:r>
      <w:r w:rsidRPr="0052040D">
        <w:rPr>
          <w:shd w:val="clear" w:color="auto" w:fill="FFFFFF"/>
        </w:rPr>
        <w:t>субстрата</w:t>
      </w:r>
      <w:r w:rsidR="005E04DF" w:rsidRPr="0052040D">
        <w:rPr>
          <w:shd w:val="clear" w:color="auto" w:fill="FFFFFF"/>
        </w:rPr>
        <w:t>, которая варьировалась от 10</w:t>
      </w:r>
      <w:r w:rsidR="00BC6A6C" w:rsidRPr="0052040D">
        <w:rPr>
          <w:shd w:val="clear" w:color="auto" w:fill="FFFFFF"/>
          <w:vertAlign w:val="superscript"/>
        </w:rPr>
        <w:t>–</w:t>
      </w:r>
      <w:r w:rsidR="005E04DF" w:rsidRPr="0052040D">
        <w:rPr>
          <w:shd w:val="clear" w:color="auto" w:fill="FFFFFF"/>
          <w:vertAlign w:val="superscript"/>
        </w:rPr>
        <w:t>4</w:t>
      </w:r>
      <w:r w:rsidR="005E04DF" w:rsidRPr="0052040D">
        <w:rPr>
          <w:shd w:val="clear" w:color="auto" w:fill="FFFFFF"/>
        </w:rPr>
        <w:t xml:space="preserve"> мол</w:t>
      </w:r>
      <w:r w:rsidR="005B76A8" w:rsidRPr="0052040D">
        <w:rPr>
          <w:shd w:val="clear" w:color="auto" w:fill="FFFFFF"/>
        </w:rPr>
        <w:t>.</w:t>
      </w:r>
      <w:r w:rsidR="00D96AC7" w:rsidRPr="0052040D">
        <w:rPr>
          <w:lang w:val="en-US"/>
        </w:rPr>
        <w:t> </w:t>
      </w:r>
      <w:r w:rsidR="005E04DF" w:rsidRPr="0052040D">
        <w:rPr>
          <w:shd w:val="clear" w:color="auto" w:fill="FFFFFF"/>
        </w:rPr>
        <w:t>% до 5*10</w:t>
      </w:r>
      <w:r w:rsidR="00B764F8" w:rsidRPr="0052040D">
        <w:rPr>
          <w:shd w:val="clear" w:color="auto" w:fill="FFFFFF"/>
          <w:vertAlign w:val="superscript"/>
        </w:rPr>
        <w:t>–</w:t>
      </w:r>
      <w:r w:rsidR="005E04DF" w:rsidRPr="0052040D">
        <w:rPr>
          <w:shd w:val="clear" w:color="auto" w:fill="FFFFFF"/>
          <w:vertAlign w:val="superscript"/>
        </w:rPr>
        <w:t>2</w:t>
      </w:r>
      <w:r w:rsidR="0052040D">
        <w:rPr>
          <w:shd w:val="clear" w:color="auto" w:fill="FFFFFF"/>
        </w:rPr>
        <w:t xml:space="preserve"> </w:t>
      </w:r>
      <w:r w:rsidR="005E04DF" w:rsidRPr="00D96AC7">
        <w:rPr>
          <w:shd w:val="clear" w:color="auto" w:fill="FFFFFF"/>
        </w:rPr>
        <w:t>мол</w:t>
      </w:r>
      <w:r w:rsidR="005B76A8" w:rsidRPr="00D96AC7">
        <w:rPr>
          <w:shd w:val="clear" w:color="auto" w:fill="FFFFFF"/>
        </w:rPr>
        <w:t>.</w:t>
      </w:r>
      <w:r w:rsidR="00D96AC7" w:rsidRPr="00D96AC7">
        <w:rPr>
          <w:shd w:val="clear" w:color="auto" w:fill="FFFFFF"/>
          <w:lang w:val="en-US"/>
        </w:rPr>
        <w:t> </w:t>
      </w:r>
      <w:r w:rsidR="005E04DF" w:rsidRPr="00D96AC7">
        <w:rPr>
          <w:shd w:val="clear" w:color="auto" w:fill="FFFFFF"/>
        </w:rPr>
        <w:t>%</w:t>
      </w:r>
      <w:r w:rsidR="005E04DF">
        <w:rPr>
          <w:shd w:val="clear" w:color="auto" w:fill="FFFFFF"/>
        </w:rPr>
        <w:t xml:space="preserve"> (Таблица 1).</w:t>
      </w:r>
    </w:p>
    <w:p w14:paraId="5493C16C" w14:textId="77777777" w:rsidR="003A107D" w:rsidRPr="00E43DAC" w:rsidRDefault="003A107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</w:p>
    <w:p w14:paraId="15A5A690" w14:textId="49925F65" w:rsidR="001E099E" w:rsidRPr="00D96AC7" w:rsidRDefault="00B01828" w:rsidP="00E712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/>
        <w:rPr>
          <w:iCs/>
          <w:color w:val="000000"/>
          <w:sz w:val="22"/>
          <w:szCs w:val="22"/>
        </w:rPr>
      </w:pPr>
      <w:r w:rsidRPr="00D96AC7">
        <w:rPr>
          <w:iCs/>
          <w:sz w:val="22"/>
          <w:szCs w:val="22"/>
        </w:rPr>
        <w:t xml:space="preserve">Таблица 1. Влияние загрузки </w:t>
      </w:r>
      <w:r w:rsidR="00E43DAC" w:rsidRPr="00D96AC7">
        <w:rPr>
          <w:iCs/>
          <w:sz w:val="22"/>
          <w:szCs w:val="22"/>
        </w:rPr>
        <w:t>фото</w:t>
      </w:r>
      <w:r w:rsidRPr="00D96AC7">
        <w:rPr>
          <w:iCs/>
          <w:sz w:val="22"/>
          <w:szCs w:val="22"/>
        </w:rPr>
        <w:t xml:space="preserve">катализатора </w:t>
      </w:r>
      <w:r w:rsidRPr="00D96AC7">
        <w:rPr>
          <w:b/>
          <w:bCs/>
          <w:iCs/>
          <w:sz w:val="22"/>
          <w:szCs w:val="22"/>
          <w:lang w:val="en-US"/>
        </w:rPr>
        <w:t>In</w:t>
      </w:r>
      <w:r w:rsidRPr="00D96AC7">
        <w:rPr>
          <w:b/>
          <w:bCs/>
          <w:iCs/>
          <w:sz w:val="22"/>
          <w:szCs w:val="22"/>
        </w:rPr>
        <w:t xml:space="preserve"> </w:t>
      </w:r>
      <w:r w:rsidRPr="00D96AC7">
        <w:rPr>
          <w:b/>
          <w:bCs/>
          <w:iCs/>
          <w:sz w:val="22"/>
          <w:szCs w:val="22"/>
          <w:lang w:val="en-US"/>
        </w:rPr>
        <w:t>TBPP</w:t>
      </w:r>
      <w:r w:rsidRPr="00D96AC7">
        <w:rPr>
          <w:iCs/>
          <w:sz w:val="22"/>
          <w:szCs w:val="22"/>
        </w:rPr>
        <w:t xml:space="preserve"> на окисление дибутилсу</w:t>
      </w:r>
      <w:r w:rsidRPr="0052040D">
        <w:rPr>
          <w:iCs/>
          <w:sz w:val="22"/>
          <w:szCs w:val="22"/>
        </w:rPr>
        <w:t>льфида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850"/>
        <w:gridCol w:w="851"/>
        <w:gridCol w:w="1134"/>
        <w:gridCol w:w="992"/>
        <w:gridCol w:w="1701"/>
        <w:gridCol w:w="957"/>
      </w:tblGrid>
      <w:tr w:rsidR="00E43DAC" w14:paraId="0ADB38A3" w14:textId="339B1178" w:rsidTr="00E43DAC">
        <w:tc>
          <w:tcPr>
            <w:tcW w:w="9174" w:type="dxa"/>
            <w:gridSpan w:val="9"/>
            <w:vAlign w:val="center"/>
          </w:tcPr>
          <w:p w14:paraId="5EF9F76B" w14:textId="74E0A407" w:rsidR="00E43DAC" w:rsidRDefault="007708A3" w:rsidP="00E43DAC">
            <w:pPr>
              <w:jc w:val="center"/>
            </w:pPr>
            <w:bookmarkStart w:id="0" w:name="_GoBack"/>
            <w:r w:rsidRPr="007708A3">
              <w:drawing>
                <wp:inline distT="0" distB="0" distL="0" distR="0" wp14:anchorId="69018D30" wp14:editId="3E7E318C">
                  <wp:extent cx="5108330" cy="1727868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371" cy="1740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43DAC" w14:paraId="66DF54C4" w14:textId="1EF81E62" w:rsidTr="00E43DAC">
        <w:tc>
          <w:tcPr>
            <w:tcW w:w="562" w:type="dxa"/>
            <w:vAlign w:val="center"/>
          </w:tcPr>
          <w:p w14:paraId="17186A3B" w14:textId="51966CA6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3" w:type="dxa"/>
            <w:vAlign w:val="center"/>
          </w:tcPr>
          <w:p w14:paraId="1EB028EF" w14:textId="12D30B6D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bCs/>
                <w:color w:val="000000"/>
                <w:sz w:val="22"/>
                <w:szCs w:val="22"/>
              </w:rPr>
              <w:t>Bu</w:t>
            </w:r>
            <w:r w:rsidRPr="0052040D">
              <w:rPr>
                <w:rFonts w:eastAsia="Arial"/>
                <w:bCs/>
                <w:color w:val="000000"/>
                <w:sz w:val="22"/>
                <w:szCs w:val="22"/>
                <w:vertAlign w:val="subscript"/>
              </w:rPr>
              <w:t>2</w:t>
            </w:r>
            <w:r w:rsidRPr="0052040D">
              <w:rPr>
                <w:rFonts w:eastAsia="Arial"/>
                <w:bCs/>
                <w:color w:val="000000"/>
                <w:sz w:val="22"/>
                <w:szCs w:val="22"/>
              </w:rPr>
              <w:t>S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Pr="0052040D">
              <w:rPr>
                <w:rFonts w:eastAsia="Arial"/>
                <w:sz w:val="22"/>
                <w:szCs w:val="22"/>
              </w:rPr>
              <w:t>ммоль</w:t>
            </w:r>
          </w:p>
        </w:tc>
        <w:tc>
          <w:tcPr>
            <w:tcW w:w="1134" w:type="dxa"/>
            <w:vAlign w:val="center"/>
          </w:tcPr>
          <w:p w14:paraId="671F27F2" w14:textId="61220627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b/>
                <w:color w:val="000000"/>
                <w:sz w:val="22"/>
                <w:szCs w:val="22"/>
              </w:rPr>
              <w:t>In TBPP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Pr="0052040D">
              <w:rPr>
                <w:rFonts w:eastAsia="Arial"/>
                <w:sz w:val="22"/>
                <w:szCs w:val="22"/>
              </w:rPr>
              <w:t>мол</w:t>
            </w:r>
            <w:r w:rsidR="00A67ED8" w:rsidRPr="0052040D">
              <w:rPr>
                <w:rFonts w:eastAsia="Arial"/>
              </w:rPr>
              <w:t> 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14:paraId="314C67ED" w14:textId="11E999E0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 xml:space="preserve">EtOH, </w:t>
            </w:r>
            <w:r w:rsidRPr="0052040D">
              <w:rPr>
                <w:rFonts w:eastAsia="Arial"/>
                <w:sz w:val="22"/>
                <w:szCs w:val="22"/>
              </w:rPr>
              <w:t>мл</w:t>
            </w:r>
          </w:p>
        </w:tc>
        <w:tc>
          <w:tcPr>
            <w:tcW w:w="851" w:type="dxa"/>
            <w:vAlign w:val="center"/>
          </w:tcPr>
          <w:p w14:paraId="5B3BAFFC" w14:textId="49C0EBE8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 xml:space="preserve">Tol, </w:t>
            </w:r>
            <w:r w:rsidRPr="0052040D">
              <w:rPr>
                <w:rFonts w:eastAsia="Arial"/>
                <w:sz w:val="22"/>
                <w:szCs w:val="22"/>
              </w:rPr>
              <w:t>мл</w:t>
            </w:r>
          </w:p>
        </w:tc>
        <w:tc>
          <w:tcPr>
            <w:tcW w:w="1134" w:type="dxa"/>
            <w:vAlign w:val="center"/>
          </w:tcPr>
          <w:p w14:paraId="1BDB3BED" w14:textId="092712B4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i/>
                <w:iCs/>
                <w:color w:val="000000"/>
                <w:sz w:val="22"/>
                <w:szCs w:val="22"/>
              </w:rPr>
              <w:t>o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 xml:space="preserve">-DCB, </w:t>
            </w:r>
            <w:r w:rsidRPr="0052040D">
              <w:rPr>
                <w:rFonts w:eastAsia="Arial"/>
                <w:sz w:val="22"/>
                <w:szCs w:val="22"/>
              </w:rPr>
              <w:t>ммоль</w:t>
            </w:r>
          </w:p>
        </w:tc>
        <w:tc>
          <w:tcPr>
            <w:tcW w:w="992" w:type="dxa"/>
            <w:vAlign w:val="center"/>
          </w:tcPr>
          <w:p w14:paraId="7CBABBBA" w14:textId="652D9BC8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sz w:val="22"/>
                <w:szCs w:val="22"/>
              </w:rPr>
              <w:t>Конв.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, %</w:t>
            </w:r>
            <w:r w:rsidRPr="0052040D">
              <w:rPr>
                <w:rFonts w:eastAsia="Arial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4496C3B8" w14:textId="38B98584" w:rsidR="00E43DAC" w:rsidRPr="0052040D" w:rsidRDefault="00E43DAC" w:rsidP="00E43DAC">
            <w:pPr>
              <w:jc w:val="center"/>
            </w:pPr>
            <w:r w:rsidRPr="0052040D">
              <w:rPr>
                <w:rFonts w:eastAsia="Arial"/>
                <w:sz w:val="22"/>
                <w:szCs w:val="22"/>
              </w:rPr>
              <w:t xml:space="preserve">Селективность, % </w:t>
            </w:r>
            <w:r w:rsidRPr="0052040D">
              <w:rPr>
                <w:rFonts w:eastAsia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57" w:type="dxa"/>
            <w:vAlign w:val="center"/>
          </w:tcPr>
          <w:p w14:paraId="2FB255D1" w14:textId="63A92DEE" w:rsidR="00E43DAC" w:rsidRPr="00E43DAC" w:rsidRDefault="00E43DAC" w:rsidP="00E43DAC">
            <w:pPr>
              <w:jc w:val="center"/>
            </w:pPr>
            <w:r w:rsidRPr="00A20A55">
              <w:rPr>
                <w:rFonts w:eastAsia="Arial"/>
                <w:sz w:val="22"/>
                <w:szCs w:val="22"/>
              </w:rPr>
              <w:t>TON</w:t>
            </w:r>
            <w:r w:rsidRPr="00A20A55">
              <w:rPr>
                <w:rFonts w:eastAsia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eastAsia="Arial"/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FA4EAF" w14:paraId="6D268742" w14:textId="52C80575" w:rsidTr="00E43DAC">
        <w:tc>
          <w:tcPr>
            <w:tcW w:w="562" w:type="dxa"/>
            <w:vAlign w:val="center"/>
          </w:tcPr>
          <w:p w14:paraId="20C3C4C3" w14:textId="5952B847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1160335A" w14:textId="67110BDE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329EB440" w14:textId="561BE1EF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</w:t>
            </w:r>
            <w:r w:rsidRPr="0052040D">
              <w:rPr>
                <w:rFonts w:eastAsia="Arial"/>
                <w:lang w:val="en-US"/>
              </w:rPr>
              <w:t> 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</w:rPr>
              <w:t>×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10</w:t>
            </w:r>
            <w:r w:rsidRPr="0052040D">
              <w:rPr>
                <w:rFonts w:eastAsia="Arial"/>
                <w:color w:val="000000"/>
                <w:sz w:val="22"/>
                <w:szCs w:val="22"/>
                <w:vertAlign w:val="superscript"/>
              </w:rPr>
              <w:t>–4</w:t>
            </w:r>
          </w:p>
        </w:tc>
        <w:tc>
          <w:tcPr>
            <w:tcW w:w="850" w:type="dxa"/>
            <w:vAlign w:val="center"/>
          </w:tcPr>
          <w:p w14:paraId="0D75C9B4" w14:textId="1A620BCE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AC7B8AE" w14:textId="6248F5BE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5B04F78D" w14:textId="17426E70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92" w:type="dxa"/>
            <w:vAlign w:val="center"/>
          </w:tcPr>
          <w:p w14:paraId="17FACD5B" w14:textId="2D11AB52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899BE4D" w14:textId="19E64135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57" w:type="dxa"/>
            <w:vAlign w:val="center"/>
          </w:tcPr>
          <w:p w14:paraId="5E862CF9" w14:textId="31604E9E" w:rsidR="00FA4EAF" w:rsidRDefault="00FA4EAF" w:rsidP="00FA4EAF">
            <w:pPr>
              <w:jc w:val="center"/>
            </w:pPr>
            <w:r w:rsidRPr="00A20A55">
              <w:rPr>
                <w:rFonts w:eastAsia="Arial"/>
                <w:color w:val="000000"/>
                <w:sz w:val="22"/>
                <w:szCs w:val="22"/>
              </w:rPr>
              <w:t>-</w:t>
            </w:r>
          </w:p>
        </w:tc>
      </w:tr>
      <w:tr w:rsidR="00FA4EAF" w14:paraId="648796C4" w14:textId="5F79BEC9" w:rsidTr="00E43DAC">
        <w:tc>
          <w:tcPr>
            <w:tcW w:w="562" w:type="dxa"/>
            <w:vAlign w:val="center"/>
          </w:tcPr>
          <w:p w14:paraId="7A1FCF68" w14:textId="56B4DE5C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3164C04B" w14:textId="0D786C2F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0131CC4D" w14:textId="5AA58851" w:rsidR="00FA4EAF" w:rsidRPr="0052040D" w:rsidRDefault="00FA4EAF" w:rsidP="00FA4EAF">
            <w:pPr>
              <w:jc w:val="center"/>
            </w:pPr>
            <w:r w:rsidRPr="005204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1 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</w:rPr>
              <w:t>×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10</w:t>
            </w:r>
            <w:r w:rsidRPr="0052040D">
              <w:rPr>
                <w:rFonts w:eastAsia="Arial"/>
                <w:color w:val="000000"/>
                <w:sz w:val="22"/>
                <w:szCs w:val="22"/>
                <w:vertAlign w:val="superscript"/>
              </w:rPr>
              <w:t>–3</w:t>
            </w:r>
          </w:p>
        </w:tc>
        <w:tc>
          <w:tcPr>
            <w:tcW w:w="850" w:type="dxa"/>
            <w:vAlign w:val="center"/>
          </w:tcPr>
          <w:p w14:paraId="6E774B49" w14:textId="3B4CE8D5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1901AE4" w14:textId="71465745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40648D72" w14:textId="34C0903E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92" w:type="dxa"/>
            <w:vAlign w:val="center"/>
          </w:tcPr>
          <w:p w14:paraId="492D93FA" w14:textId="5A267585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6C93288D" w14:textId="10774842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7" w:type="dxa"/>
            <w:vAlign w:val="center"/>
          </w:tcPr>
          <w:p w14:paraId="5C990108" w14:textId="4B1BD6C1" w:rsidR="00FA4EAF" w:rsidRDefault="00FA4EAF" w:rsidP="00FA4EAF">
            <w:pPr>
              <w:jc w:val="center"/>
            </w:pPr>
            <w:r w:rsidRPr="00A20A55">
              <w:rPr>
                <w:rFonts w:eastAsia="Arial"/>
                <w:color w:val="000000"/>
                <w:sz w:val="22"/>
                <w:szCs w:val="22"/>
              </w:rPr>
              <w:t>18000</w:t>
            </w:r>
          </w:p>
        </w:tc>
      </w:tr>
      <w:tr w:rsidR="00FA4EAF" w14:paraId="0A3F8A35" w14:textId="245E5A74" w:rsidTr="00E43DAC">
        <w:tc>
          <w:tcPr>
            <w:tcW w:w="562" w:type="dxa"/>
            <w:vAlign w:val="center"/>
          </w:tcPr>
          <w:p w14:paraId="40AFCC9F" w14:textId="060A8E99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3349CD6C" w14:textId="6FD8F8BC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315A8406" w14:textId="3412570F" w:rsidR="00FA4EAF" w:rsidRPr="0052040D" w:rsidRDefault="00FA4EAF" w:rsidP="00FA4EAF">
            <w:pPr>
              <w:jc w:val="center"/>
            </w:pPr>
            <w:r w:rsidRPr="005204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1 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</w:rPr>
              <w:t>×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10</w:t>
            </w:r>
            <w:r w:rsidRPr="0052040D">
              <w:rPr>
                <w:rFonts w:eastAsia="Arial"/>
                <w:color w:val="000000"/>
                <w:sz w:val="22"/>
                <w:szCs w:val="22"/>
                <w:vertAlign w:val="superscript"/>
              </w:rPr>
              <w:t>–2</w:t>
            </w:r>
          </w:p>
        </w:tc>
        <w:tc>
          <w:tcPr>
            <w:tcW w:w="850" w:type="dxa"/>
            <w:vAlign w:val="center"/>
          </w:tcPr>
          <w:p w14:paraId="7887A135" w14:textId="31E8EC29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64075F4" w14:textId="2F0B48BF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71F9C351" w14:textId="3F66B7D2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92" w:type="dxa"/>
            <w:vAlign w:val="center"/>
          </w:tcPr>
          <w:p w14:paraId="06479076" w14:textId="1156C103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14:paraId="15C6E4AD" w14:textId="4ADADE63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98</w:t>
            </w:r>
            <w:r w:rsidRPr="0052040D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7" w:type="dxa"/>
            <w:vAlign w:val="center"/>
          </w:tcPr>
          <w:p w14:paraId="52C0D8ED" w14:textId="095BF80B" w:rsidR="00FA4EAF" w:rsidRDefault="00FA4EAF" w:rsidP="00FA4EAF">
            <w:pPr>
              <w:jc w:val="center"/>
            </w:pPr>
            <w:r w:rsidRPr="00A20A55">
              <w:rPr>
                <w:rFonts w:eastAsia="Arial"/>
                <w:color w:val="000000"/>
                <w:sz w:val="22"/>
                <w:szCs w:val="22"/>
              </w:rPr>
              <w:t>4200</w:t>
            </w:r>
          </w:p>
        </w:tc>
      </w:tr>
      <w:tr w:rsidR="00FA4EAF" w14:paraId="31EA1197" w14:textId="0FAC0A19" w:rsidTr="00E43DAC">
        <w:tc>
          <w:tcPr>
            <w:tcW w:w="562" w:type="dxa"/>
            <w:vAlign w:val="center"/>
          </w:tcPr>
          <w:p w14:paraId="42A5C010" w14:textId="28477838" w:rsidR="00FA4EAF" w:rsidRDefault="00FA4EAF" w:rsidP="00FA4EAF">
            <w:pPr>
              <w:jc w:val="center"/>
            </w:pPr>
            <w:r w:rsidRPr="00A20A55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6BC5F11D" w14:textId="1D6EBB7E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23BFD46E" w14:textId="03F3CC2A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sz w:val="22"/>
                <w:szCs w:val="22"/>
              </w:rPr>
              <w:t>5</w:t>
            </w:r>
            <w:r w:rsidRPr="0052040D">
              <w:rPr>
                <w:rFonts w:eastAsia="Arial"/>
                <w:sz w:val="22"/>
                <w:szCs w:val="22"/>
                <w:lang w:val="en-US"/>
              </w:rPr>
              <w:t> 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</w:rPr>
              <w:t>×</w:t>
            </w:r>
            <w:r w:rsidRPr="005204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52040D">
              <w:rPr>
                <w:rFonts w:eastAsia="Arial"/>
                <w:color w:val="000000"/>
                <w:sz w:val="22"/>
                <w:szCs w:val="22"/>
              </w:rPr>
              <w:t>10</w:t>
            </w:r>
            <w:r w:rsidRPr="0052040D">
              <w:rPr>
                <w:rFonts w:eastAsia="Arial"/>
                <w:color w:val="000000"/>
                <w:sz w:val="22"/>
                <w:szCs w:val="22"/>
                <w:vertAlign w:val="superscript"/>
              </w:rPr>
              <w:t>–2</w:t>
            </w:r>
          </w:p>
        </w:tc>
        <w:tc>
          <w:tcPr>
            <w:tcW w:w="850" w:type="dxa"/>
            <w:vAlign w:val="center"/>
          </w:tcPr>
          <w:p w14:paraId="11455336" w14:textId="4BC82D36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2B95EA87" w14:textId="1A48C077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31530174" w14:textId="357CACA0" w:rsidR="00FA4EAF" w:rsidRPr="0052040D" w:rsidRDefault="00FA4EAF" w:rsidP="00FA4EAF">
            <w:pPr>
              <w:jc w:val="center"/>
            </w:pPr>
            <w:r w:rsidRPr="0052040D">
              <w:rPr>
                <w:rFonts w:eastAsia="Arial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92" w:type="dxa"/>
            <w:vAlign w:val="center"/>
          </w:tcPr>
          <w:p w14:paraId="41ACC94C" w14:textId="28B4CEBF" w:rsidR="00FA4EAF" w:rsidRDefault="00FA4EAF" w:rsidP="00FA4EAF">
            <w:pPr>
              <w:jc w:val="center"/>
            </w:pPr>
            <w:r w:rsidRPr="00A20A55">
              <w:rPr>
                <w:rFonts w:eastAsia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  <w:vAlign w:val="center"/>
          </w:tcPr>
          <w:p w14:paraId="586B92C2" w14:textId="3B6C3EE4" w:rsidR="00FA4EAF" w:rsidRDefault="00FA4EAF" w:rsidP="00FA4EAF">
            <w:pPr>
              <w:jc w:val="center"/>
            </w:pPr>
            <w:r w:rsidRPr="00A20A55">
              <w:rPr>
                <w:rFonts w:eastAsia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7" w:type="dxa"/>
            <w:vAlign w:val="center"/>
          </w:tcPr>
          <w:p w14:paraId="560C2C62" w14:textId="42B591EF" w:rsidR="00FA4EAF" w:rsidRDefault="00FA4EAF" w:rsidP="00FA4EAF">
            <w:pPr>
              <w:jc w:val="center"/>
            </w:pPr>
            <w:r w:rsidRPr="00A20A55">
              <w:rPr>
                <w:rFonts w:eastAsia="Arial"/>
                <w:color w:val="000000"/>
                <w:sz w:val="22"/>
                <w:szCs w:val="22"/>
              </w:rPr>
              <w:t>1560</w:t>
            </w:r>
          </w:p>
        </w:tc>
      </w:tr>
    </w:tbl>
    <w:p w14:paraId="662C66F8" w14:textId="030A3F8B" w:rsidR="00F3092C" w:rsidRDefault="00E43DAC" w:rsidP="000F1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sz w:val="22"/>
          <w:szCs w:val="22"/>
        </w:rPr>
      </w:pPr>
      <w:r w:rsidRPr="00D96AC7">
        <w:rPr>
          <w:rFonts w:eastAsia="Arial"/>
          <w:sz w:val="22"/>
          <w:szCs w:val="22"/>
          <w:vertAlign w:val="superscript"/>
        </w:rPr>
        <w:t xml:space="preserve">a </w:t>
      </w:r>
      <w:r w:rsidRPr="00D96AC7">
        <w:rPr>
          <w:rFonts w:eastAsia="Arial"/>
          <w:sz w:val="22"/>
          <w:szCs w:val="22"/>
        </w:rPr>
        <w:t xml:space="preserve">– </w:t>
      </w:r>
      <w:r w:rsidRPr="0052040D">
        <w:rPr>
          <w:rFonts w:eastAsia="Arial"/>
          <w:sz w:val="22"/>
          <w:szCs w:val="22"/>
        </w:rPr>
        <w:t>определено</w:t>
      </w:r>
      <w:r w:rsidRPr="0052040D">
        <w:rPr>
          <w:rFonts w:eastAsia="Arial"/>
          <w:sz w:val="22"/>
          <w:szCs w:val="22"/>
          <w:vertAlign w:val="superscript"/>
        </w:rPr>
        <w:t xml:space="preserve"> </w:t>
      </w:r>
      <w:r w:rsidRPr="0052040D">
        <w:rPr>
          <w:sz w:val="22"/>
          <w:szCs w:val="22"/>
        </w:rPr>
        <w:t>методом ГХ-МС</w:t>
      </w:r>
      <w:r w:rsidR="00B24CE7" w:rsidRPr="0052040D">
        <w:rPr>
          <w:sz w:val="22"/>
          <w:szCs w:val="22"/>
        </w:rPr>
        <w:t xml:space="preserve"> (внутренний стандарт: </w:t>
      </w:r>
      <w:r w:rsidR="00B24CE7" w:rsidRPr="0052040D">
        <w:rPr>
          <w:i/>
          <w:iCs/>
          <w:sz w:val="22"/>
          <w:szCs w:val="22"/>
        </w:rPr>
        <w:t>o</w:t>
      </w:r>
      <w:r w:rsidR="00B24CE7" w:rsidRPr="0052040D">
        <w:rPr>
          <w:sz w:val="22"/>
          <w:szCs w:val="22"/>
        </w:rPr>
        <w:t>-DCB)</w:t>
      </w:r>
      <w:r w:rsidRPr="0052040D">
        <w:rPr>
          <w:sz w:val="22"/>
          <w:szCs w:val="22"/>
        </w:rPr>
        <w:t xml:space="preserve">; </w:t>
      </w:r>
      <w:r w:rsidRPr="0052040D">
        <w:rPr>
          <w:rFonts w:eastAsia="Arial"/>
          <w:sz w:val="22"/>
          <w:szCs w:val="22"/>
          <w:vertAlign w:val="superscript"/>
          <w:lang w:val="en-US"/>
        </w:rPr>
        <w:t>b</w:t>
      </w:r>
      <w:r w:rsidRPr="0052040D">
        <w:rPr>
          <w:rFonts w:eastAsia="Arial"/>
          <w:sz w:val="22"/>
          <w:szCs w:val="22"/>
          <w:vertAlign w:val="superscript"/>
        </w:rPr>
        <w:t xml:space="preserve"> </w:t>
      </w:r>
      <w:r w:rsidRPr="0052040D">
        <w:rPr>
          <w:rFonts w:eastAsia="Arial"/>
          <w:sz w:val="22"/>
          <w:szCs w:val="22"/>
        </w:rPr>
        <w:t xml:space="preserve">– </w:t>
      </w:r>
      <w:r w:rsidR="00DF0BEF" w:rsidRPr="0052040D">
        <w:rPr>
          <w:rFonts w:eastAsia="Arial"/>
          <w:sz w:val="22"/>
          <w:szCs w:val="22"/>
        </w:rPr>
        <w:t>TON = конв. * n</w:t>
      </w:r>
      <w:r w:rsidR="0052040D">
        <w:rPr>
          <w:rFonts w:eastAsia="Arial"/>
          <w:sz w:val="22"/>
          <w:szCs w:val="22"/>
          <w:vertAlign w:val="subscript"/>
          <w:lang w:val="en-US"/>
        </w:rPr>
        <w:t>Bu</w:t>
      </w:r>
      <w:r w:rsidR="0052040D" w:rsidRPr="00B23075">
        <w:rPr>
          <w:rFonts w:eastAsia="Arial"/>
          <w:sz w:val="18"/>
          <w:szCs w:val="22"/>
          <w:vertAlign w:val="subscript"/>
        </w:rPr>
        <w:t>2</w:t>
      </w:r>
      <w:r w:rsidR="0052040D">
        <w:rPr>
          <w:rFonts w:eastAsia="Arial"/>
          <w:sz w:val="22"/>
          <w:szCs w:val="22"/>
          <w:vertAlign w:val="subscript"/>
          <w:lang w:val="en-US"/>
        </w:rPr>
        <w:t>S</w:t>
      </w:r>
      <w:r w:rsidR="00DF0BEF" w:rsidRPr="0052040D">
        <w:rPr>
          <w:rFonts w:eastAsia="Arial"/>
          <w:sz w:val="22"/>
          <w:szCs w:val="22"/>
        </w:rPr>
        <w:t xml:space="preserve"> / n</w:t>
      </w:r>
      <w:r w:rsidR="0052040D">
        <w:rPr>
          <w:rFonts w:eastAsia="Arial"/>
          <w:sz w:val="22"/>
          <w:szCs w:val="22"/>
          <w:vertAlign w:val="subscript"/>
        </w:rPr>
        <w:t>кат</w:t>
      </w:r>
      <w:r w:rsidR="00DF0BEF" w:rsidRPr="0052040D">
        <w:rPr>
          <w:rFonts w:eastAsia="Arial"/>
          <w:sz w:val="22"/>
          <w:szCs w:val="22"/>
        </w:rPr>
        <w:t>.</w:t>
      </w:r>
      <w:r w:rsidR="006A0ADD" w:rsidRPr="0052040D">
        <w:rPr>
          <w:rFonts w:eastAsia="Arial"/>
          <w:sz w:val="22"/>
          <w:szCs w:val="22"/>
        </w:rPr>
        <w:t xml:space="preserve"> </w:t>
      </w:r>
    </w:p>
    <w:p w14:paraId="3B34685A" w14:textId="77777777" w:rsidR="007708A3" w:rsidRPr="0052040D" w:rsidRDefault="007708A3" w:rsidP="000F1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14:paraId="78ED44C1" w14:textId="5FE4BE9B" w:rsidR="00D53DA7" w:rsidRDefault="00B303B2" w:rsidP="00B51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040D">
        <w:t>В результате проведённых экспериментов было установлено, что п</w:t>
      </w:r>
      <w:r w:rsidR="00D53DA7" w:rsidRPr="0052040D">
        <w:t>ри загрузке 5</w:t>
      </w:r>
      <w:r w:rsidRPr="0052040D">
        <w:t> </w:t>
      </w:r>
      <w:r w:rsidR="007F6AB3" w:rsidRPr="0052040D">
        <w:rPr>
          <w:color w:val="000000"/>
          <w:sz w:val="22"/>
          <w:szCs w:val="22"/>
          <w:shd w:val="clear" w:color="auto" w:fill="FFFFFF"/>
        </w:rPr>
        <w:t>×</w:t>
      </w:r>
      <w:r w:rsidRPr="0052040D">
        <w:rPr>
          <w:color w:val="000000"/>
          <w:sz w:val="22"/>
          <w:szCs w:val="22"/>
          <w:shd w:val="clear" w:color="auto" w:fill="FFFFFF"/>
        </w:rPr>
        <w:t> </w:t>
      </w:r>
      <w:r w:rsidR="00D53DA7" w:rsidRPr="0052040D">
        <w:t>10</w:t>
      </w:r>
      <w:r w:rsidRPr="0052040D">
        <w:rPr>
          <w:vertAlign w:val="superscript"/>
        </w:rPr>
        <w:t>−</w:t>
      </w:r>
      <w:r w:rsidR="00D53DA7" w:rsidRPr="0052040D">
        <w:rPr>
          <w:vertAlign w:val="superscript"/>
        </w:rPr>
        <w:t>2</w:t>
      </w:r>
      <w:r w:rsidR="00D53DA7" w:rsidRPr="0052040D">
        <w:t xml:space="preserve"> мол</w:t>
      </w:r>
      <w:r w:rsidR="005B76A8" w:rsidRPr="0052040D">
        <w:t>.</w:t>
      </w:r>
      <w:r w:rsidR="00D96AC7" w:rsidRPr="0052040D">
        <w:rPr>
          <w:lang w:val="en-US"/>
        </w:rPr>
        <w:t> </w:t>
      </w:r>
      <w:r w:rsidR="00D53DA7" w:rsidRPr="0052040D">
        <w:t xml:space="preserve">% </w:t>
      </w:r>
      <w:r w:rsidR="007F6AB3" w:rsidRPr="0052040D">
        <w:rPr>
          <w:b/>
          <w:bCs/>
          <w:lang w:val="en-US"/>
        </w:rPr>
        <w:t>In</w:t>
      </w:r>
      <w:r w:rsidR="007F6AB3" w:rsidRPr="0052040D">
        <w:rPr>
          <w:b/>
          <w:bCs/>
        </w:rPr>
        <w:t xml:space="preserve"> </w:t>
      </w:r>
      <w:r w:rsidR="007F6AB3" w:rsidRPr="0052040D">
        <w:rPr>
          <w:b/>
          <w:bCs/>
          <w:lang w:val="en-US"/>
        </w:rPr>
        <w:t>TBPP</w:t>
      </w:r>
      <w:r w:rsidR="007F6AB3" w:rsidRPr="0052040D">
        <w:t xml:space="preserve"> </w:t>
      </w:r>
      <w:r w:rsidR="00D53DA7" w:rsidRPr="0052040D">
        <w:t>обеспечи</w:t>
      </w:r>
      <w:r w:rsidR="004A7B10" w:rsidRPr="0052040D">
        <w:t>вается</w:t>
      </w:r>
      <w:r w:rsidR="00D53DA7" w:rsidRPr="0052040D">
        <w:t xml:space="preserve"> </w:t>
      </w:r>
      <w:r w:rsidR="004A7B10" w:rsidRPr="0052040D">
        <w:t>высокая степень превращения</w:t>
      </w:r>
      <w:r w:rsidR="00D53DA7" w:rsidRPr="0052040D">
        <w:t xml:space="preserve"> дибутилсульфида за 1</w:t>
      </w:r>
      <w:r w:rsidR="004A7B10" w:rsidRPr="0052040D">
        <w:t> </w:t>
      </w:r>
      <w:r w:rsidR="00D53DA7" w:rsidRPr="0052040D">
        <w:t xml:space="preserve">ч при сохранении </w:t>
      </w:r>
      <w:r w:rsidRPr="0052040D">
        <w:t>почти 100 %-й</w:t>
      </w:r>
      <w:r w:rsidR="00D53DA7" w:rsidRPr="00D53DA7">
        <w:t xml:space="preserve"> селективности образования сульфоксида.</w:t>
      </w:r>
    </w:p>
    <w:p w14:paraId="7F2990A3" w14:textId="190479C7" w:rsidR="007708A3" w:rsidRDefault="007708A3" w:rsidP="00770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AB40A0">
        <w:rPr>
          <w:i/>
        </w:rPr>
        <w:t>Работа выполнена при финансовой поддержке Министерства науки и высшего образования Российской Федерации.</w:t>
      </w:r>
    </w:p>
    <w:p w14:paraId="5BC08063" w14:textId="77777777" w:rsidR="007708A3" w:rsidRPr="00AB40A0" w:rsidRDefault="007708A3" w:rsidP="00770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</w:p>
    <w:p w14:paraId="156B473B" w14:textId="77777777" w:rsidR="00B51604" w:rsidRPr="0052040D" w:rsidRDefault="00B51604" w:rsidP="00B51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2040D">
        <w:rPr>
          <w:b/>
          <w:color w:val="000000"/>
        </w:rPr>
        <w:t>Литература</w:t>
      </w:r>
    </w:p>
    <w:p w14:paraId="4F984F04" w14:textId="1A680EC6" w:rsidR="00B51604" w:rsidRDefault="00B51604" w:rsidP="00B51604">
      <w:pPr>
        <w:pStyle w:val="a5"/>
        <w:numPr>
          <w:ilvl w:val="0"/>
          <w:numId w:val="6"/>
        </w:numPr>
        <w:ind w:left="0" w:firstLine="0"/>
        <w:contextualSpacing w:val="0"/>
        <w:jc w:val="both"/>
        <w:rPr>
          <w:color w:val="000000"/>
          <w:lang w:val="en-US"/>
        </w:rPr>
      </w:pPr>
      <w:r w:rsidRPr="0052040D">
        <w:rPr>
          <w:color w:val="000000"/>
          <w:lang w:val="en-US"/>
        </w:rPr>
        <w:t xml:space="preserve">D.A. Polivanovskaia, et al. Diaryl-pyrazinoporphyrins – Prospective photocatalysts for efficient sulfoxidation. // J Catal. 2022, Vol. 413. </w:t>
      </w:r>
      <w:r w:rsidR="007708A3">
        <w:rPr>
          <w:color w:val="000000"/>
          <w:lang w:val="en-US"/>
        </w:rPr>
        <w:t>P</w:t>
      </w:r>
      <w:r w:rsidRPr="0052040D">
        <w:rPr>
          <w:color w:val="000000"/>
          <w:lang w:val="en-US"/>
        </w:rPr>
        <w:t>. 342–352.</w:t>
      </w:r>
    </w:p>
    <w:p w14:paraId="5FCE9286" w14:textId="216DDCBA" w:rsidR="007708A3" w:rsidRPr="007708A3" w:rsidRDefault="00B23075" w:rsidP="007708A3">
      <w:pPr>
        <w:pStyle w:val="a5"/>
        <w:numPr>
          <w:ilvl w:val="0"/>
          <w:numId w:val="6"/>
        </w:numPr>
        <w:ind w:left="0" w:firstLine="0"/>
        <w:contextualSpacing w:val="0"/>
        <w:jc w:val="both"/>
        <w:rPr>
          <w:color w:val="000000"/>
          <w:lang w:val="en-US"/>
        </w:rPr>
      </w:pPr>
      <w:r w:rsidRPr="000F169B">
        <w:rPr>
          <w:color w:val="000000"/>
          <w:lang w:val="en-US"/>
        </w:rPr>
        <w:t>Azenha EG, Serra AC, Pineiro M, Pereira MM, Seixas de Melo J, Arnaut LG, et al. Heavy-atom effects on metalloporphyrins</w:t>
      </w:r>
      <w:r w:rsidR="007708A3">
        <w:rPr>
          <w:color w:val="000000"/>
          <w:lang w:val="en-US"/>
        </w:rPr>
        <w:t xml:space="preserve"> and polyhalogenated porphyrins. //</w:t>
      </w:r>
      <w:r w:rsidRPr="000F169B">
        <w:rPr>
          <w:color w:val="000000"/>
          <w:lang w:val="en-US"/>
        </w:rPr>
        <w:t xml:space="preserve"> Chem Phys</w:t>
      </w:r>
      <w:r w:rsidR="007708A3">
        <w:rPr>
          <w:color w:val="000000"/>
          <w:lang w:val="en-US"/>
        </w:rPr>
        <w:t>.</w:t>
      </w:r>
      <w:r w:rsidRPr="000F169B">
        <w:rPr>
          <w:color w:val="000000"/>
          <w:lang w:val="en-US"/>
        </w:rPr>
        <w:t xml:space="preserve"> 2002</w:t>
      </w:r>
      <w:r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Vol. </w:t>
      </w:r>
      <w:r w:rsidRPr="000F169B">
        <w:rPr>
          <w:color w:val="000000"/>
          <w:lang w:val="en-US"/>
        </w:rPr>
        <w:t>280</w:t>
      </w:r>
      <w:r w:rsidR="007708A3">
        <w:rPr>
          <w:color w:val="000000"/>
          <w:lang w:val="en-US"/>
        </w:rPr>
        <w:t>. P</w:t>
      </w:r>
      <w:r>
        <w:rPr>
          <w:color w:val="000000"/>
          <w:lang w:val="en-US"/>
        </w:rPr>
        <w:t xml:space="preserve">. </w:t>
      </w:r>
      <w:r w:rsidRPr="000F169B">
        <w:rPr>
          <w:color w:val="000000"/>
          <w:lang w:val="en-US"/>
        </w:rPr>
        <w:t>177–90.</w:t>
      </w:r>
    </w:p>
    <w:sectPr w:rsidR="007708A3" w:rsidRPr="007708A3" w:rsidSect="00D96A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A0074" w14:textId="77777777" w:rsidR="00426B34" w:rsidRDefault="00426B34" w:rsidP="00B01828">
      <w:r>
        <w:separator/>
      </w:r>
    </w:p>
  </w:endnote>
  <w:endnote w:type="continuationSeparator" w:id="0">
    <w:p w14:paraId="64036BD2" w14:textId="77777777" w:rsidR="00426B34" w:rsidRDefault="00426B34" w:rsidP="00B0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F16A8" w14:textId="77777777" w:rsidR="00426B34" w:rsidRDefault="00426B34" w:rsidP="00B01828">
      <w:r>
        <w:separator/>
      </w:r>
    </w:p>
  </w:footnote>
  <w:footnote w:type="continuationSeparator" w:id="0">
    <w:p w14:paraId="3B8F09A9" w14:textId="77777777" w:rsidR="00426B34" w:rsidRDefault="00426B34" w:rsidP="00B0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F5A96"/>
    <w:multiLevelType w:val="hybridMultilevel"/>
    <w:tmpl w:val="45A8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3CEC"/>
    <w:multiLevelType w:val="hybridMultilevel"/>
    <w:tmpl w:val="BF140478"/>
    <w:lvl w:ilvl="0" w:tplc="3BAE0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0EE9"/>
    <w:rsid w:val="00063966"/>
    <w:rsid w:val="00065C6F"/>
    <w:rsid w:val="00075D6E"/>
    <w:rsid w:val="00086081"/>
    <w:rsid w:val="0009449A"/>
    <w:rsid w:val="00094FD0"/>
    <w:rsid w:val="000B2386"/>
    <w:rsid w:val="000E334E"/>
    <w:rsid w:val="000F169B"/>
    <w:rsid w:val="00101A1C"/>
    <w:rsid w:val="00103657"/>
    <w:rsid w:val="00106375"/>
    <w:rsid w:val="00107AA3"/>
    <w:rsid w:val="00116478"/>
    <w:rsid w:val="00130241"/>
    <w:rsid w:val="001A56BC"/>
    <w:rsid w:val="001E099E"/>
    <w:rsid w:val="001E61C2"/>
    <w:rsid w:val="001F0493"/>
    <w:rsid w:val="0022260A"/>
    <w:rsid w:val="002264EE"/>
    <w:rsid w:val="0023307C"/>
    <w:rsid w:val="002743F7"/>
    <w:rsid w:val="00296645"/>
    <w:rsid w:val="0031361E"/>
    <w:rsid w:val="00321122"/>
    <w:rsid w:val="003724C6"/>
    <w:rsid w:val="00375D57"/>
    <w:rsid w:val="00391C38"/>
    <w:rsid w:val="003A107D"/>
    <w:rsid w:val="003B76D6"/>
    <w:rsid w:val="003C64BB"/>
    <w:rsid w:val="003E2601"/>
    <w:rsid w:val="003F4E6B"/>
    <w:rsid w:val="00426B34"/>
    <w:rsid w:val="00497CA6"/>
    <w:rsid w:val="004A26A3"/>
    <w:rsid w:val="004A7B10"/>
    <w:rsid w:val="004D7D80"/>
    <w:rsid w:val="004F0EDF"/>
    <w:rsid w:val="004F7EBE"/>
    <w:rsid w:val="00507055"/>
    <w:rsid w:val="0052040D"/>
    <w:rsid w:val="00522BF1"/>
    <w:rsid w:val="00590166"/>
    <w:rsid w:val="005B76A8"/>
    <w:rsid w:val="005D022B"/>
    <w:rsid w:val="005E04DF"/>
    <w:rsid w:val="005E5BE9"/>
    <w:rsid w:val="00632660"/>
    <w:rsid w:val="0065244C"/>
    <w:rsid w:val="006526E3"/>
    <w:rsid w:val="0069427D"/>
    <w:rsid w:val="006A0ADD"/>
    <w:rsid w:val="006F7A19"/>
    <w:rsid w:val="007213E1"/>
    <w:rsid w:val="007708A3"/>
    <w:rsid w:val="00775389"/>
    <w:rsid w:val="00797838"/>
    <w:rsid w:val="007C36D8"/>
    <w:rsid w:val="007F2744"/>
    <w:rsid w:val="007F6AB3"/>
    <w:rsid w:val="00827EAB"/>
    <w:rsid w:val="008428DE"/>
    <w:rsid w:val="00860E32"/>
    <w:rsid w:val="008931BE"/>
    <w:rsid w:val="008B369D"/>
    <w:rsid w:val="008C67E3"/>
    <w:rsid w:val="00914205"/>
    <w:rsid w:val="00921D45"/>
    <w:rsid w:val="00922507"/>
    <w:rsid w:val="00924464"/>
    <w:rsid w:val="009426C0"/>
    <w:rsid w:val="00954ABB"/>
    <w:rsid w:val="00980A65"/>
    <w:rsid w:val="009A66DB"/>
    <w:rsid w:val="009B2F80"/>
    <w:rsid w:val="009B3300"/>
    <w:rsid w:val="009F3380"/>
    <w:rsid w:val="00A02163"/>
    <w:rsid w:val="00A20A55"/>
    <w:rsid w:val="00A22DFB"/>
    <w:rsid w:val="00A314FE"/>
    <w:rsid w:val="00A52BB1"/>
    <w:rsid w:val="00A67ED8"/>
    <w:rsid w:val="00A70FFA"/>
    <w:rsid w:val="00A84202"/>
    <w:rsid w:val="00AD7380"/>
    <w:rsid w:val="00B01828"/>
    <w:rsid w:val="00B02BA4"/>
    <w:rsid w:val="00B23075"/>
    <w:rsid w:val="00B24CE7"/>
    <w:rsid w:val="00B303B2"/>
    <w:rsid w:val="00B51604"/>
    <w:rsid w:val="00B700F0"/>
    <w:rsid w:val="00B764F8"/>
    <w:rsid w:val="00BB3C9F"/>
    <w:rsid w:val="00BC6A6C"/>
    <w:rsid w:val="00BF36F8"/>
    <w:rsid w:val="00BF4622"/>
    <w:rsid w:val="00C354BA"/>
    <w:rsid w:val="00C4633F"/>
    <w:rsid w:val="00C844E2"/>
    <w:rsid w:val="00CD00B1"/>
    <w:rsid w:val="00D22306"/>
    <w:rsid w:val="00D42542"/>
    <w:rsid w:val="00D53DA7"/>
    <w:rsid w:val="00D8121C"/>
    <w:rsid w:val="00D96AC7"/>
    <w:rsid w:val="00DF0BEF"/>
    <w:rsid w:val="00E22189"/>
    <w:rsid w:val="00E43DAC"/>
    <w:rsid w:val="00E71274"/>
    <w:rsid w:val="00E74069"/>
    <w:rsid w:val="00E81D35"/>
    <w:rsid w:val="00E82AEB"/>
    <w:rsid w:val="00EB1F49"/>
    <w:rsid w:val="00ED195B"/>
    <w:rsid w:val="00F3092C"/>
    <w:rsid w:val="00F46EB1"/>
    <w:rsid w:val="00F77BE7"/>
    <w:rsid w:val="00F865B3"/>
    <w:rsid w:val="00FA32E6"/>
    <w:rsid w:val="00FA4EAF"/>
    <w:rsid w:val="00FB1509"/>
    <w:rsid w:val="00FB6F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70FFA"/>
    <w:pPr>
      <w:widowControl w:val="0"/>
      <w:suppressAutoHyphens/>
      <w:autoSpaceDE w:val="0"/>
      <w:autoSpaceDN w:val="0"/>
      <w:spacing w:line="360" w:lineRule="auto"/>
      <w:ind w:firstLine="709"/>
      <w:jc w:val="both"/>
      <w:textDirection w:val="btLr"/>
      <w:textAlignment w:val="top"/>
      <w:outlineLvl w:val="0"/>
    </w:pPr>
    <w:rPr>
      <w:position w:val="-1"/>
      <w:sz w:val="28"/>
      <w:lang w:eastAsia="en-US"/>
    </w:rPr>
  </w:style>
  <w:style w:type="character" w:customStyle="1" w:styleId="ac">
    <w:name w:val="Основной текст Знак"/>
    <w:basedOn w:val="a0"/>
    <w:link w:val="ab"/>
    <w:rsid w:val="00A70FFA"/>
    <w:rPr>
      <w:rFonts w:ascii="Times New Roman" w:eastAsia="Times New Roman" w:hAnsi="Times New Roman" w:cs="Times New Roman"/>
      <w:position w:val="-1"/>
      <w:sz w:val="28"/>
      <w:szCs w:val="24"/>
      <w:lang w:eastAsia="en-US"/>
    </w:rPr>
  </w:style>
  <w:style w:type="table" w:customStyle="1" w:styleId="10">
    <w:name w:val="1"/>
    <w:basedOn w:val="a1"/>
    <w:rsid w:val="000B2386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B018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182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018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1828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E43DA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43DA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43DAC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43D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43DAC"/>
    <w:rPr>
      <w:rFonts w:ascii="Times New Roman" w:eastAsia="Times New Roman" w:hAnsi="Times New Roman" w:cs="Times New Roman"/>
      <w:b/>
      <w:bCs/>
    </w:rPr>
  </w:style>
  <w:style w:type="table" w:styleId="af6">
    <w:name w:val="Table Grid"/>
    <w:basedOn w:val="a1"/>
    <w:uiPriority w:val="39"/>
    <w:rsid w:val="00E4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DDA35-4159-40F1-AC0C-B5637121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dcterms:created xsi:type="dcterms:W3CDTF">2025-03-04T04:41:00Z</dcterms:created>
  <dcterms:modified xsi:type="dcterms:W3CDTF">2025-03-04T04:41:00Z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