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19D3" w14:textId="77777777" w:rsidR="0074637D" w:rsidRPr="00AB4917" w:rsidRDefault="0074637D" w:rsidP="0074637D">
      <w:pPr>
        <w:pStyle w:val="11"/>
        <w:widowControl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AB4917">
        <w:rPr>
          <w:b/>
          <w:color w:val="000000"/>
          <w:sz w:val="24"/>
          <w:szCs w:val="24"/>
        </w:rPr>
        <w:t xml:space="preserve">Разработка структурной кинетической модели и механизма протекания реакции дегидрирования </w:t>
      </w:r>
      <w:proofErr w:type="spellStart"/>
      <w:r w:rsidRPr="00AB4917">
        <w:rPr>
          <w:b/>
          <w:color w:val="000000"/>
          <w:sz w:val="24"/>
          <w:szCs w:val="24"/>
        </w:rPr>
        <w:t>метилциклогексана</w:t>
      </w:r>
      <w:proofErr w:type="spellEnd"/>
      <w:r w:rsidRPr="00AB4917">
        <w:rPr>
          <w:b/>
          <w:color w:val="000000"/>
          <w:sz w:val="24"/>
          <w:szCs w:val="24"/>
        </w:rPr>
        <w:t xml:space="preserve"> на катализаторе </w:t>
      </w:r>
      <w:proofErr w:type="gramStart"/>
      <w:r w:rsidRPr="00AB4917">
        <w:rPr>
          <w:b/>
          <w:color w:val="000000"/>
          <w:sz w:val="24"/>
          <w:szCs w:val="24"/>
          <w:lang w:val="en-US"/>
        </w:rPr>
        <w:t>Pt</w:t>
      </w:r>
      <w:r w:rsidRPr="00AB4917">
        <w:rPr>
          <w:b/>
          <w:color w:val="000000"/>
          <w:sz w:val="24"/>
          <w:szCs w:val="24"/>
        </w:rPr>
        <w:t>,</w:t>
      </w:r>
      <w:r w:rsidRPr="00AB4917">
        <w:rPr>
          <w:b/>
          <w:color w:val="000000"/>
          <w:sz w:val="24"/>
          <w:szCs w:val="24"/>
          <w:lang w:val="en-US"/>
        </w:rPr>
        <w:t>Sn</w:t>
      </w:r>
      <w:proofErr w:type="gramEnd"/>
      <w:r w:rsidRPr="00AB4917">
        <w:rPr>
          <w:b/>
          <w:color w:val="000000"/>
          <w:sz w:val="24"/>
          <w:szCs w:val="24"/>
        </w:rPr>
        <w:t>/</w:t>
      </w:r>
      <w:r w:rsidRPr="00AB4917">
        <w:rPr>
          <w:b/>
          <w:sz w:val="24"/>
          <w:szCs w:val="24"/>
        </w:rPr>
        <w:t>γ-</w:t>
      </w:r>
      <w:r w:rsidRPr="00AB4917">
        <w:rPr>
          <w:b/>
          <w:sz w:val="24"/>
          <w:szCs w:val="24"/>
          <w:lang w:val="en-US"/>
        </w:rPr>
        <w:t>Al</w:t>
      </w:r>
      <w:r w:rsidRPr="00AB4917">
        <w:rPr>
          <w:b/>
          <w:sz w:val="24"/>
          <w:szCs w:val="24"/>
          <w:vertAlign w:val="subscript"/>
        </w:rPr>
        <w:t>2</w:t>
      </w:r>
      <w:r w:rsidRPr="00AB4917">
        <w:rPr>
          <w:b/>
          <w:sz w:val="24"/>
          <w:szCs w:val="24"/>
          <w:lang w:val="en-US"/>
        </w:rPr>
        <w:t>O</w:t>
      </w:r>
      <w:r w:rsidRPr="00AB4917">
        <w:rPr>
          <w:b/>
          <w:sz w:val="24"/>
          <w:szCs w:val="24"/>
          <w:vertAlign w:val="subscript"/>
        </w:rPr>
        <w:t>3</w:t>
      </w:r>
    </w:p>
    <w:p w14:paraId="6E8B8E9D" w14:textId="4F21AADA" w:rsidR="0074637D" w:rsidRPr="008C243E" w:rsidRDefault="0074637D" w:rsidP="0074637D">
      <w:pPr>
        <w:pStyle w:val="11"/>
        <w:widowControl/>
        <w:spacing w:before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AB4917">
        <w:rPr>
          <w:b/>
          <w:color w:val="000000"/>
          <w:sz w:val="24"/>
          <w:szCs w:val="24"/>
        </w:rPr>
        <w:t>Ложкин Александр Дмитриевич</w:t>
      </w:r>
      <w:r w:rsidRPr="00AB4917">
        <w:rPr>
          <w:b/>
          <w:color w:val="000000"/>
          <w:sz w:val="24"/>
          <w:szCs w:val="24"/>
          <w:vertAlign w:val="superscript"/>
        </w:rPr>
        <w:t>1,2</w:t>
      </w:r>
      <w:r w:rsidR="008C243E" w:rsidRPr="005362FD">
        <w:rPr>
          <w:b/>
          <w:color w:val="000000"/>
          <w:sz w:val="24"/>
          <w:szCs w:val="24"/>
        </w:rPr>
        <w:t>,</w:t>
      </w:r>
      <w:r w:rsidRPr="005362FD">
        <w:rPr>
          <w:b/>
          <w:color w:val="000000"/>
          <w:sz w:val="24"/>
          <w:szCs w:val="24"/>
        </w:rPr>
        <w:t xml:space="preserve"> Кацман Евгений Александрович</w:t>
      </w:r>
      <w:r w:rsidRPr="005362FD">
        <w:rPr>
          <w:b/>
          <w:color w:val="000000"/>
          <w:sz w:val="24"/>
          <w:szCs w:val="24"/>
          <w:vertAlign w:val="superscript"/>
        </w:rPr>
        <w:t>1</w:t>
      </w:r>
      <w:r w:rsidR="008C243E" w:rsidRPr="005362FD">
        <w:rPr>
          <w:b/>
          <w:color w:val="000000"/>
          <w:sz w:val="24"/>
          <w:szCs w:val="24"/>
        </w:rPr>
        <w:t>, Брук Лев Григорьевич</w:t>
      </w:r>
      <w:r w:rsidR="008C243E" w:rsidRPr="005362FD">
        <w:rPr>
          <w:b/>
          <w:color w:val="000000"/>
          <w:sz w:val="24"/>
          <w:szCs w:val="24"/>
          <w:vertAlign w:val="superscript"/>
        </w:rPr>
        <w:t>1</w:t>
      </w:r>
    </w:p>
    <w:p w14:paraId="7AEB0A81" w14:textId="77777777" w:rsidR="0074637D" w:rsidRPr="00AB4917" w:rsidRDefault="0074637D" w:rsidP="0074637D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B4917">
        <w:rPr>
          <w:color w:val="000000"/>
        </w:rPr>
        <w:t>Руководитель проекта</w:t>
      </w:r>
    </w:p>
    <w:p w14:paraId="25FEDF3E" w14:textId="77777777" w:rsidR="0074637D" w:rsidRPr="00AB4917" w:rsidRDefault="0074637D" w:rsidP="0074637D">
      <w:pPr>
        <w:pStyle w:val="ab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AB4917">
        <w:rPr>
          <w:i/>
          <w:iCs/>
          <w:color w:val="000000"/>
          <w:vertAlign w:val="superscript"/>
        </w:rPr>
        <w:t>1</w:t>
      </w:r>
      <w:r w:rsidRPr="00AB4917">
        <w:rPr>
          <w:i/>
          <w:iCs/>
          <w:color w:val="000000"/>
        </w:rPr>
        <w:t>Институт тонких химических технологий им. М.В. Ломоносова, РТУ МИРЭА, Москва, Россия</w:t>
      </w:r>
    </w:p>
    <w:p w14:paraId="3DC7020C" w14:textId="77777777" w:rsidR="0074637D" w:rsidRPr="00CC3F9F" w:rsidRDefault="0074637D" w:rsidP="0074637D">
      <w:pPr>
        <w:pStyle w:val="ab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AB4917">
        <w:rPr>
          <w:i/>
          <w:iCs/>
          <w:color w:val="000000"/>
        </w:rPr>
        <w:t xml:space="preserve"> </w:t>
      </w:r>
      <w:r w:rsidRPr="00CC3F9F">
        <w:rPr>
          <w:i/>
          <w:iCs/>
          <w:color w:val="000000"/>
          <w:vertAlign w:val="superscript"/>
        </w:rPr>
        <w:t>2</w:t>
      </w:r>
      <w:r w:rsidRPr="00CC3F9F">
        <w:rPr>
          <w:i/>
          <w:iCs/>
          <w:color w:val="000000"/>
        </w:rPr>
        <w:t>ООО «Центр Водородных Технологий»</w:t>
      </w:r>
    </w:p>
    <w:p w14:paraId="41E70068" w14:textId="2AFC6F14" w:rsidR="0074637D" w:rsidRPr="008C243E" w:rsidRDefault="0074637D" w:rsidP="007F0A2A">
      <w:pPr>
        <w:jc w:val="center"/>
        <w:rPr>
          <w:i/>
          <w:iCs/>
          <w:color w:val="000000"/>
        </w:rPr>
      </w:pPr>
      <w:proofErr w:type="gramStart"/>
      <w:r w:rsidRPr="00CC3F9F">
        <w:rPr>
          <w:i/>
          <w:iCs/>
          <w:color w:val="000000"/>
        </w:rPr>
        <w:t>E-mail:</w:t>
      </w:r>
      <w:proofErr w:type="spellStart"/>
      <w:r w:rsidRPr="00CC3F9F">
        <w:rPr>
          <w:i/>
          <w:iCs/>
          <w:color w:val="000000"/>
          <w:lang w:val="en-US"/>
        </w:rPr>
        <w:t>promchemie</w:t>
      </w:r>
      <w:proofErr w:type="spellEnd"/>
      <w:r w:rsidRPr="00CC3F9F">
        <w:rPr>
          <w:i/>
          <w:iCs/>
          <w:color w:val="000000"/>
        </w:rPr>
        <w:t>@</w:t>
      </w:r>
      <w:proofErr w:type="spellStart"/>
      <w:r w:rsidRPr="00CC3F9F">
        <w:rPr>
          <w:i/>
          <w:iCs/>
          <w:color w:val="000000"/>
          <w:lang w:val="en-US"/>
        </w:rPr>
        <w:t>gmail</w:t>
      </w:r>
      <w:proofErr w:type="spellEnd"/>
      <w:r w:rsidRPr="00CC3F9F">
        <w:rPr>
          <w:i/>
          <w:iCs/>
          <w:color w:val="000000"/>
        </w:rPr>
        <w:t>.</w:t>
      </w:r>
      <w:r w:rsidRPr="00CC3F9F">
        <w:rPr>
          <w:i/>
          <w:iCs/>
          <w:color w:val="000000"/>
          <w:lang w:val="en-US"/>
        </w:rPr>
        <w:t>com</w:t>
      </w:r>
      <w:proofErr w:type="gramEnd"/>
    </w:p>
    <w:p w14:paraId="68555CE6" w14:textId="05B5535B" w:rsidR="009F3380" w:rsidRDefault="00F25DC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4917">
        <w:rPr>
          <w:color w:val="000000"/>
        </w:rPr>
        <w:t xml:space="preserve">Реакции гидрирования ароматических соединений и дегидрирования </w:t>
      </w:r>
      <w:proofErr w:type="spellStart"/>
      <w:r w:rsidRPr="00AB4917">
        <w:rPr>
          <w:color w:val="000000"/>
        </w:rPr>
        <w:t>циклоалканов</w:t>
      </w:r>
      <w:proofErr w:type="spellEnd"/>
      <w:r w:rsidRPr="00AB4917">
        <w:rPr>
          <w:color w:val="000000"/>
        </w:rPr>
        <w:t xml:space="preserve"> представляют практический интерес для создания эффективной системы запасания, хранения и транспорта энергии в виде связанного водорода с помощью жидких органических носителей, которые могут использоваться в широком диапазоне условий и при необходимости </w:t>
      </w:r>
      <w:r w:rsidR="008C243E" w:rsidRPr="005362FD">
        <w:rPr>
          <w:color w:val="000000"/>
        </w:rPr>
        <w:t xml:space="preserve">позволяют </w:t>
      </w:r>
      <w:r w:rsidRPr="005362FD">
        <w:rPr>
          <w:color w:val="000000"/>
        </w:rPr>
        <w:t>п</w:t>
      </w:r>
      <w:r w:rsidRPr="00AB4917">
        <w:rPr>
          <w:color w:val="000000"/>
        </w:rPr>
        <w:t xml:space="preserve">олучать водород по реакции дегидрирования </w:t>
      </w:r>
      <w:proofErr w:type="spellStart"/>
      <w:r w:rsidRPr="00AB4917">
        <w:rPr>
          <w:color w:val="000000"/>
        </w:rPr>
        <w:t>циклоалканов</w:t>
      </w:r>
      <w:proofErr w:type="spellEnd"/>
      <w:r w:rsidRPr="00AB4917">
        <w:rPr>
          <w:color w:val="000000"/>
        </w:rPr>
        <w:t xml:space="preserve"> [1-</w:t>
      </w:r>
      <w:r w:rsidR="003C14D1">
        <w:rPr>
          <w:color w:val="000000"/>
        </w:rPr>
        <w:t>2</w:t>
      </w:r>
      <w:r w:rsidRPr="00AB4917">
        <w:rPr>
          <w:color w:val="000000"/>
        </w:rPr>
        <w:t>].</w:t>
      </w:r>
      <w:r w:rsidRPr="00F25DC9">
        <w:rPr>
          <w:color w:val="000000"/>
        </w:rPr>
        <w:t xml:space="preserve"> </w:t>
      </w:r>
      <w:r w:rsidRPr="00AB4917">
        <w:rPr>
          <w:color w:val="000000"/>
        </w:rPr>
        <w:t>В Российской Федерации требования к жидким носителям водорода повышаются</w:t>
      </w:r>
      <w:r w:rsidRPr="00AB4917">
        <w:t xml:space="preserve"> вследствие сурового климата и необходимости хранить и транспортировать </w:t>
      </w:r>
      <w:proofErr w:type="spellStart"/>
      <w:r w:rsidRPr="00AB4917">
        <w:t>циклоалканы</w:t>
      </w:r>
      <w:proofErr w:type="spellEnd"/>
      <w:r w:rsidRPr="00AB4917">
        <w:t xml:space="preserve"> при низких температурах. Пара толуол-</w:t>
      </w:r>
      <w:proofErr w:type="spellStart"/>
      <w:r w:rsidRPr="00AB4917">
        <w:t>метилциклогексан</w:t>
      </w:r>
      <w:proofErr w:type="spellEnd"/>
      <w:r w:rsidRPr="00AB4917">
        <w:t xml:space="preserve"> удовлетворяет данным требованиям, поскольку остается в жидком состоянии до температуры -85</w:t>
      </w:r>
      <w:r w:rsidRPr="00AB4917">
        <w:rPr>
          <w:vertAlign w:val="superscript"/>
        </w:rPr>
        <w:t>о</w:t>
      </w:r>
      <w:r w:rsidRPr="00AB4917">
        <w:t>С. Закономерности реакций гидрирования ароматических соединений достаточно хорошо изучены, а соответствующие реакции дегидрирования известны в меньшей степени [</w:t>
      </w:r>
      <w:r w:rsidR="003C14D1">
        <w:t>3</w:t>
      </w:r>
      <w:r w:rsidRPr="00AB4917">
        <w:t xml:space="preserve">]. </w:t>
      </w:r>
    </w:p>
    <w:p w14:paraId="3C44C7A4" w14:textId="1ECD6B88" w:rsidR="00F865B3" w:rsidRDefault="00F25DC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4917">
        <w:rPr>
          <w:lang w:bidi="he-IL"/>
        </w:rPr>
        <w:t>Разработана структурная кинетическая модел</w:t>
      </w:r>
      <w:r w:rsidRPr="00AB4917">
        <w:t xml:space="preserve">ь гетерогенно-каталитической обратимой реакции дегидрирования </w:t>
      </w:r>
      <w:proofErr w:type="spellStart"/>
      <w:r w:rsidRPr="00AB4917">
        <w:t>метилциклогексана</w:t>
      </w:r>
      <w:proofErr w:type="spellEnd"/>
      <w:r w:rsidRPr="00AB4917">
        <w:t xml:space="preserve"> в толуол и водород на модифицированном оловом платиновом нанесенном катализаторе </w:t>
      </w:r>
      <w:proofErr w:type="gramStart"/>
      <w:r w:rsidRPr="00AB4917">
        <w:rPr>
          <w:bCs/>
          <w:color w:val="000000"/>
          <w:lang w:val="en-US"/>
        </w:rPr>
        <w:t>Pt</w:t>
      </w:r>
      <w:r w:rsidRPr="00AB4917">
        <w:rPr>
          <w:bCs/>
          <w:color w:val="000000"/>
        </w:rPr>
        <w:t>(</w:t>
      </w:r>
      <w:proofErr w:type="gramEnd"/>
      <w:r w:rsidRPr="00AB4917">
        <w:rPr>
          <w:bCs/>
          <w:color w:val="000000"/>
        </w:rPr>
        <w:t>1.5%),</w:t>
      </w:r>
      <w:r w:rsidRPr="00AB4917">
        <w:rPr>
          <w:bCs/>
          <w:color w:val="000000"/>
          <w:lang w:val="en-US"/>
        </w:rPr>
        <w:t>Sn</w:t>
      </w:r>
      <w:r w:rsidRPr="00AB4917">
        <w:rPr>
          <w:bCs/>
          <w:color w:val="000000"/>
        </w:rPr>
        <w:t>(0.25%)/</w:t>
      </w:r>
      <w:r w:rsidRPr="00AB4917">
        <w:rPr>
          <w:bCs/>
          <w:color w:val="000000"/>
          <w:lang w:val="en-US"/>
        </w:rPr>
        <w:t>γ</w:t>
      </w:r>
      <w:r w:rsidRPr="00AB4917">
        <w:rPr>
          <w:bCs/>
          <w:color w:val="000000"/>
        </w:rPr>
        <w:t>-</w:t>
      </w:r>
      <w:r w:rsidRPr="00AB4917">
        <w:rPr>
          <w:bCs/>
          <w:color w:val="000000"/>
          <w:lang w:val="en-US"/>
        </w:rPr>
        <w:t>Al</w:t>
      </w:r>
      <w:r w:rsidRPr="00AB4917">
        <w:rPr>
          <w:bCs/>
          <w:color w:val="000000"/>
          <w:vertAlign w:val="subscript"/>
        </w:rPr>
        <w:t>2</w:t>
      </w:r>
      <w:r w:rsidRPr="00AB4917">
        <w:rPr>
          <w:bCs/>
          <w:color w:val="000000"/>
          <w:lang w:val="en-US"/>
        </w:rPr>
        <w:t>O</w:t>
      </w:r>
      <w:r w:rsidRPr="00AB4917">
        <w:rPr>
          <w:bCs/>
          <w:color w:val="000000"/>
          <w:vertAlign w:val="subscript"/>
        </w:rPr>
        <w:t>3</w:t>
      </w:r>
      <w:r w:rsidRPr="00AB4917">
        <w:rPr>
          <w:bCs/>
          <w:color w:val="000000"/>
        </w:rPr>
        <w:t>)</w:t>
      </w:r>
      <w:r w:rsidRPr="00AB4917">
        <w:rPr>
          <w:bCs/>
        </w:rPr>
        <w:t>.</w:t>
      </w:r>
      <w:r w:rsidRPr="00AB4917">
        <w:t xml:space="preserve"> Она учитывает участие в катализе бифункционального активного центра </w:t>
      </w:r>
      <w:r w:rsidRPr="00AB4917">
        <w:rPr>
          <w:lang w:val="en-US"/>
        </w:rPr>
        <w:t>ZY</w:t>
      </w:r>
      <w:r w:rsidRPr="00AB4917">
        <w:t xml:space="preserve"> и двух его адсорбционных форм с водородом и толуолом (рисунок 1). Механизм включает четыре маршрута, и разработанная на его основе кинетическая модель адекватно описывает экспериментальные данные для прямого и обратного направления реакции в широком интервале условий ее проведения. Обсуждаются детали многомаршрутного механизма реакции</w:t>
      </w:r>
      <w:r>
        <w:rPr>
          <w:color w:val="000000"/>
        </w:rPr>
        <w:t>.</w:t>
      </w:r>
    </w:p>
    <w:p w14:paraId="523F3750" w14:textId="4F14853E" w:rsidR="00F25DC9" w:rsidRDefault="00F25DC9" w:rsidP="00F25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B4917">
        <w:rPr>
          <w:noProof/>
        </w:rPr>
        <w:drawing>
          <wp:inline distT="0" distB="0" distL="0" distR="0" wp14:anchorId="6A05CE63" wp14:editId="6AB29DF7">
            <wp:extent cx="2286000" cy="180473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05" cy="181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72AA" w14:textId="7CEA31AC" w:rsidR="00F25DC9" w:rsidRDefault="00F25DC9" w:rsidP="00F25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834C5">
        <w:t xml:space="preserve">Рис. 1. </w:t>
      </w:r>
      <w:r w:rsidRPr="00AB4917">
        <w:t xml:space="preserve">Кинетический граф механизма дегидрирования </w:t>
      </w:r>
      <w:proofErr w:type="spellStart"/>
      <w:r w:rsidRPr="00AB4917">
        <w:t>метилциклогексана</w:t>
      </w:r>
      <w:proofErr w:type="spellEnd"/>
      <w:r w:rsidRPr="00AB4917">
        <w:t xml:space="preserve"> в толуол</w:t>
      </w:r>
    </w:p>
    <w:p w14:paraId="2E7EF575" w14:textId="6DDB97C5" w:rsidR="00F25DC9" w:rsidRPr="00AB4917" w:rsidRDefault="00F25DC9" w:rsidP="00F25DC9">
      <w:pPr>
        <w:pStyle w:val="BodyL"/>
        <w:spacing w:line="240" w:lineRule="auto"/>
        <w:rPr>
          <w:szCs w:val="24"/>
        </w:rPr>
      </w:pPr>
      <w:r w:rsidRPr="00AB4917">
        <w:rPr>
          <w:szCs w:val="24"/>
        </w:rPr>
        <w:t xml:space="preserve">Уравнения модели открыты для модификации и расширения, что открывает путь для включения в неё путей образования побочных продуктов, и прежде всего, отложений тяжелых продуктов на катализаторе.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D4FBF0" w14:textId="6B431F6A" w:rsidR="007F0A2A" w:rsidRPr="007F0A2A" w:rsidRDefault="007F0A2A" w:rsidP="007F0A2A">
      <w:pPr>
        <w:pStyle w:val="a5"/>
        <w:numPr>
          <w:ilvl w:val="0"/>
          <w:numId w:val="5"/>
        </w:numPr>
        <w:ind w:left="360"/>
        <w:jc w:val="both"/>
        <w:rPr>
          <w:lang w:val="en-US"/>
        </w:rPr>
      </w:pPr>
      <w:r w:rsidRPr="007F0A2A">
        <w:rPr>
          <w:lang w:val="en-US"/>
        </w:rPr>
        <w:t>Kurosaki D. Introduction of Liquid Organic Hydrogen Carrier and the Global Hydrogen Supply Chain Project, Chiyoda Corporation</w:t>
      </w:r>
      <w:r w:rsidR="0072620F">
        <w:rPr>
          <w:lang w:val="en-US"/>
        </w:rPr>
        <w:t>,</w:t>
      </w:r>
      <w:r w:rsidRPr="007F0A2A">
        <w:rPr>
          <w:lang w:val="en-US"/>
        </w:rPr>
        <w:t xml:space="preserve"> 2018.</w:t>
      </w:r>
    </w:p>
    <w:p w14:paraId="12D21576" w14:textId="74531B20" w:rsidR="007F0A2A" w:rsidRPr="007F0A2A" w:rsidRDefault="007F0A2A" w:rsidP="007F0A2A">
      <w:pPr>
        <w:pStyle w:val="a5"/>
        <w:numPr>
          <w:ilvl w:val="0"/>
          <w:numId w:val="5"/>
        </w:numPr>
        <w:ind w:left="360"/>
        <w:jc w:val="both"/>
        <w:rPr>
          <w:lang w:val="en-US"/>
        </w:rPr>
      </w:pPr>
      <w:r w:rsidRPr="007F0A2A">
        <w:rPr>
          <w:lang w:val="en-US"/>
        </w:rPr>
        <w:t>Okada Y. Development of large scale H</w:t>
      </w:r>
      <w:r w:rsidRPr="007F0A2A">
        <w:rPr>
          <w:vertAlign w:val="subscript"/>
          <w:lang w:val="en-US"/>
        </w:rPr>
        <w:t>2</w:t>
      </w:r>
      <w:r w:rsidRPr="007F0A2A">
        <w:rPr>
          <w:lang w:val="en-US"/>
        </w:rPr>
        <w:t xml:space="preserve"> storage and transportation technology with liquid organic hydrogen carrier (LOHC). Qatar: Proceeding 21st Jt. GCC-Japan Environ. Symp. Doha</w:t>
      </w:r>
      <w:r w:rsidR="00AF2FBA">
        <w:rPr>
          <w:lang w:val="en-US"/>
        </w:rPr>
        <w:t>,</w:t>
      </w:r>
      <w:r w:rsidRPr="007F0A2A">
        <w:rPr>
          <w:lang w:val="en-US"/>
        </w:rPr>
        <w:t xml:space="preserve"> 2013.</w:t>
      </w:r>
    </w:p>
    <w:p w14:paraId="3486C755" w14:textId="03F2A8D0" w:rsidR="00116478" w:rsidRPr="003C14D1" w:rsidRDefault="007F0A2A" w:rsidP="003C14D1">
      <w:pPr>
        <w:pStyle w:val="a5"/>
        <w:numPr>
          <w:ilvl w:val="0"/>
          <w:numId w:val="5"/>
        </w:numPr>
        <w:ind w:left="360"/>
        <w:jc w:val="both"/>
        <w:rPr>
          <w:lang w:val="en-US"/>
        </w:rPr>
      </w:pPr>
      <w:proofErr w:type="spellStart"/>
      <w:r w:rsidRPr="007F0A2A">
        <w:rPr>
          <w:lang w:val="en-US"/>
        </w:rPr>
        <w:t>Chauoki</w:t>
      </w:r>
      <w:proofErr w:type="spellEnd"/>
      <w:r w:rsidRPr="00AB4917">
        <w:rPr>
          <w:i/>
          <w:iCs/>
          <w:lang w:val="en-US"/>
        </w:rPr>
        <w:t xml:space="preserve"> </w:t>
      </w:r>
      <w:r w:rsidRPr="0072620F">
        <w:rPr>
          <w:lang w:val="en-US"/>
        </w:rPr>
        <w:t>J.</w:t>
      </w:r>
      <w:r w:rsidR="00AF2FBA">
        <w:rPr>
          <w:lang w:val="en-US"/>
        </w:rPr>
        <w:t xml:space="preserve">, </w:t>
      </w:r>
      <w:r w:rsidR="00AF2FBA" w:rsidRPr="00AB4917">
        <w:rPr>
          <w:lang w:val="en-US"/>
        </w:rPr>
        <w:t>Touzani</w:t>
      </w:r>
      <w:r w:rsidR="00AF2FBA">
        <w:rPr>
          <w:lang w:val="en-US"/>
        </w:rPr>
        <w:t xml:space="preserve"> A., </w:t>
      </w:r>
      <w:proofErr w:type="spellStart"/>
      <w:r w:rsidR="00AF2FBA" w:rsidRPr="00AB4917">
        <w:rPr>
          <w:lang w:val="en-US"/>
        </w:rPr>
        <w:t>Klvana</w:t>
      </w:r>
      <w:proofErr w:type="spellEnd"/>
      <w:r w:rsidRPr="00AB4917">
        <w:rPr>
          <w:lang w:val="en-US"/>
        </w:rPr>
        <w:t xml:space="preserve"> </w:t>
      </w:r>
      <w:r w:rsidR="00AF2FBA">
        <w:rPr>
          <w:lang w:val="en-US"/>
        </w:rPr>
        <w:t xml:space="preserve">D. </w:t>
      </w:r>
      <w:proofErr w:type="spellStart"/>
      <w:r w:rsidRPr="00AB4917">
        <w:rPr>
          <w:lang w:val="en-US"/>
        </w:rPr>
        <w:t>Déshydrogénation</w:t>
      </w:r>
      <w:proofErr w:type="spellEnd"/>
      <w:r w:rsidRPr="00AB4917">
        <w:rPr>
          <w:lang w:val="en-US"/>
        </w:rPr>
        <w:t xml:space="preserve"> du </w:t>
      </w:r>
      <w:proofErr w:type="spellStart"/>
      <w:r w:rsidRPr="00AB4917">
        <w:rPr>
          <w:lang w:val="en-US"/>
        </w:rPr>
        <w:t>méthylcyclohexane</w:t>
      </w:r>
      <w:proofErr w:type="spellEnd"/>
      <w:r w:rsidRPr="00AB4917">
        <w:rPr>
          <w:lang w:val="en-US"/>
        </w:rPr>
        <w:t xml:space="preserve"> sur le </w:t>
      </w:r>
      <w:proofErr w:type="spellStart"/>
      <w:r w:rsidRPr="00AB4917">
        <w:rPr>
          <w:lang w:val="en-US"/>
        </w:rPr>
        <w:t>catalyseur</w:t>
      </w:r>
      <w:proofErr w:type="spellEnd"/>
      <w:r w:rsidRPr="00AB4917">
        <w:rPr>
          <w:lang w:val="en-US"/>
        </w:rPr>
        <w:t xml:space="preserve"> </w:t>
      </w:r>
      <w:proofErr w:type="spellStart"/>
      <w:r w:rsidRPr="00AB4917">
        <w:rPr>
          <w:lang w:val="en-US"/>
        </w:rPr>
        <w:t>industriel</w:t>
      </w:r>
      <w:proofErr w:type="spellEnd"/>
      <w:r w:rsidRPr="00AB4917">
        <w:rPr>
          <w:lang w:val="en-US"/>
        </w:rPr>
        <w:t xml:space="preserve"> Pt-Sn/Al</w:t>
      </w:r>
      <w:r w:rsidRPr="00AB4917">
        <w:rPr>
          <w:vertAlign w:val="subscript"/>
          <w:lang w:val="en-US"/>
        </w:rPr>
        <w:t>2</w:t>
      </w:r>
      <w:r w:rsidRPr="00AB4917">
        <w:rPr>
          <w:lang w:val="en-US"/>
        </w:rPr>
        <w:t>O</w:t>
      </w:r>
      <w:r w:rsidRPr="00AB4917">
        <w:rPr>
          <w:vertAlign w:val="subscript"/>
          <w:lang w:val="en-US"/>
        </w:rPr>
        <w:t>3</w:t>
      </w:r>
      <w:r w:rsidRPr="00AB4917">
        <w:rPr>
          <w:lang w:val="en-US"/>
        </w:rPr>
        <w:t xml:space="preserve"> // Oil &amp; Gas Science and Technology. 1988. V. 43, № 6. P. 873-881.</w:t>
      </w:r>
    </w:p>
    <w:sectPr w:rsidR="00116478" w:rsidRPr="003C14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E5CE8"/>
    <w:multiLevelType w:val="hybridMultilevel"/>
    <w:tmpl w:val="3398DA30"/>
    <w:lvl w:ilvl="0" w:tplc="066A5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82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C23A5"/>
    <w:rsid w:val="0031361E"/>
    <w:rsid w:val="00391C38"/>
    <w:rsid w:val="003B76D6"/>
    <w:rsid w:val="003C14D1"/>
    <w:rsid w:val="003E2601"/>
    <w:rsid w:val="003F4E6B"/>
    <w:rsid w:val="004A26A3"/>
    <w:rsid w:val="004F0EDF"/>
    <w:rsid w:val="00522BF1"/>
    <w:rsid w:val="005362FD"/>
    <w:rsid w:val="00590166"/>
    <w:rsid w:val="005D022B"/>
    <w:rsid w:val="005E5BE9"/>
    <w:rsid w:val="0069427D"/>
    <w:rsid w:val="006F7A19"/>
    <w:rsid w:val="007213E1"/>
    <w:rsid w:val="0072620F"/>
    <w:rsid w:val="007338D0"/>
    <w:rsid w:val="0074637D"/>
    <w:rsid w:val="00775389"/>
    <w:rsid w:val="00797838"/>
    <w:rsid w:val="007C36D8"/>
    <w:rsid w:val="007F0A2A"/>
    <w:rsid w:val="007F2744"/>
    <w:rsid w:val="008931BE"/>
    <w:rsid w:val="008C243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F2FBA"/>
    <w:rsid w:val="00B629E6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25DC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74637D"/>
    <w:pPr>
      <w:widowControl w:val="0"/>
      <w:spacing w:before="220" w:line="300" w:lineRule="auto"/>
      <w:ind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Normal (Web)"/>
    <w:basedOn w:val="a"/>
    <w:uiPriority w:val="99"/>
    <w:unhideWhenUsed/>
    <w:rsid w:val="0074637D"/>
    <w:pPr>
      <w:spacing w:before="100" w:beforeAutospacing="1" w:after="100" w:afterAutospacing="1"/>
    </w:pPr>
  </w:style>
  <w:style w:type="paragraph" w:customStyle="1" w:styleId="BodyL">
    <w:name w:val="BodyL."/>
    <w:basedOn w:val="a"/>
    <w:rsid w:val="00F25DC9"/>
    <w:pPr>
      <w:spacing w:line="360" w:lineRule="auto"/>
      <w:ind w:firstLine="567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5C5DE9-3022-494B-93E5-9B081B2E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Ложкин</dc:creator>
  <cp:lastModifiedBy>Александр Ложкин</cp:lastModifiedBy>
  <cp:revision>3</cp:revision>
  <dcterms:created xsi:type="dcterms:W3CDTF">2025-03-05T09:56:00Z</dcterms:created>
  <dcterms:modified xsi:type="dcterms:W3CDTF">2025-03-05T09:58:00Z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