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Каталитические свойства иммобилизованных </w:t>
      </w:r>
      <w:r>
        <w:rPr>
          <w:b w:val="1"/>
        </w:rPr>
        <w:t>хлорферратов</w:t>
      </w:r>
      <w:r>
        <w:rPr>
          <w:b w:val="1"/>
        </w:rPr>
        <w:t xml:space="preserve"> </w:t>
      </w:r>
      <w:r>
        <w:rPr>
          <w:b w:val="1"/>
        </w:rPr>
        <w:t>имидазолия</w:t>
      </w:r>
      <w:r>
        <w:rPr>
          <w:b w:val="1"/>
        </w:rPr>
        <w:t xml:space="preserve"> в окислении тиофена: влияние носителя и способа нанесения</w:t>
      </w:r>
    </w:p>
    <w:p w14:paraId="0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color w:val="000000"/>
        </w:rPr>
      </w:pPr>
      <w:r>
        <w:rPr>
          <w:b w:val="1"/>
          <w:i w:val="1"/>
          <w:color w:val="000000"/>
        </w:rPr>
        <w:t>Воскресенский Е.Ю.</w:t>
      </w:r>
      <w:r>
        <w:rPr>
          <w:b w:val="1"/>
          <w:i w:val="1"/>
          <w:color w:val="000000"/>
          <w:vertAlign w:val="superscript"/>
        </w:rPr>
        <w:t>1</w:t>
      </w:r>
      <w:r>
        <w:rPr>
          <w:b w:val="1"/>
          <w:i w:val="1"/>
          <w:color w:val="000000"/>
        </w:rPr>
        <w:t>,</w:t>
      </w:r>
      <w:r>
        <w:rPr>
          <w:b w:val="1"/>
          <w:i w:val="1"/>
          <w:color w:val="000000"/>
        </w:rPr>
        <w:t xml:space="preserve"> </w:t>
      </w:r>
      <w:r>
        <w:rPr>
          <w:b w:val="1"/>
          <w:i w:val="1"/>
          <w:color w:val="000000"/>
        </w:rPr>
        <w:t>Родина</w:t>
      </w:r>
      <w:r>
        <w:rPr>
          <w:b w:val="1"/>
          <w:i w:val="1"/>
          <w:color w:val="000000"/>
        </w:rPr>
        <w:t xml:space="preserve"> </w:t>
      </w:r>
      <w:r>
        <w:rPr>
          <w:b w:val="1"/>
          <w:i w:val="1"/>
          <w:color w:val="000000"/>
        </w:rPr>
        <w:t>А</w:t>
      </w:r>
      <w:r>
        <w:rPr>
          <w:b w:val="1"/>
          <w:i w:val="1"/>
          <w:color w:val="000000"/>
        </w:rPr>
        <w:t>.</w:t>
      </w:r>
      <w:r>
        <w:rPr>
          <w:b w:val="1"/>
          <w:i w:val="1"/>
          <w:color w:val="000000"/>
        </w:rPr>
        <w:t>В.</w:t>
      </w:r>
      <w:r>
        <w:rPr>
          <w:b w:val="1"/>
          <w:i w:val="1"/>
          <w:color w:val="000000"/>
          <w:vertAlign w:val="superscript"/>
        </w:rPr>
        <w:t>2</w:t>
      </w:r>
    </w:p>
    <w:p w14:paraId="0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color w:val="000000"/>
        </w:rPr>
      </w:pPr>
      <w:r>
        <w:rPr>
          <w:i w:val="1"/>
          <w:color w:val="000000"/>
        </w:rPr>
        <w:t>Студент</w:t>
      </w:r>
      <w:r>
        <w:rPr>
          <w:i w:val="1"/>
          <w:color w:val="000000"/>
        </w:rPr>
        <w:t xml:space="preserve">, </w:t>
      </w:r>
      <w:r>
        <w:rPr>
          <w:i w:val="1"/>
          <w:color w:val="000000"/>
        </w:rPr>
        <w:t>1</w:t>
      </w:r>
      <w:r>
        <w:rPr>
          <w:i w:val="1"/>
          <w:color w:val="000000"/>
        </w:rPr>
        <w:t xml:space="preserve"> курс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>специалитета</w:t>
      </w:r>
      <w:r>
        <w:rPr>
          <w:i w:val="1"/>
          <w:color w:val="000000"/>
        </w:rPr>
        <w:t xml:space="preserve"> </w:t>
      </w:r>
    </w:p>
    <w:p w14:paraId="0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color w:val="000000"/>
        </w:rPr>
      </w:pPr>
      <w:r>
        <w:rPr>
          <w:i w:val="1"/>
          <w:color w:val="000000"/>
          <w:vertAlign w:val="superscript"/>
        </w:rPr>
        <w:t>1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 xml:space="preserve">Московский государственный университет имени М.В. Ломоносова, </w:t>
      </w:r>
      <w:r>
        <w:rPr>
          <w:i w:val="1"/>
          <w:color w:val="000000"/>
        </w:rPr>
        <w:br/>
      </w:r>
      <w:r>
        <w:rPr>
          <w:i w:val="1"/>
          <w:color w:val="000000"/>
        </w:rPr>
        <w:t>химический факультет, Москва, Россия</w:t>
      </w:r>
      <w:r>
        <w:rPr>
          <w:i w:val="1"/>
          <w:color w:val="000000"/>
        </w:rPr>
        <w:t xml:space="preserve"> </w:t>
      </w:r>
    </w:p>
    <w:p w14:paraId="0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i w:val="1"/>
          <w:color w:val="000000"/>
        </w:rPr>
      </w:pPr>
      <w:r>
        <w:rPr>
          <w:i w:val="1"/>
          <w:color w:val="000000"/>
          <w:vertAlign w:val="superscript"/>
        </w:rPr>
        <w:t>2</w:t>
      </w:r>
      <w:r>
        <w:rPr>
          <w:i w:val="1"/>
          <w:color w:val="000000"/>
        </w:rPr>
        <w:t xml:space="preserve"> Московский государственный технический университет имени Н.Э. Баумана</w:t>
      </w:r>
    </w:p>
    <w:p w14:paraId="0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color w:val="000000"/>
        </w:rPr>
      </w:pPr>
      <w:r>
        <w:rPr>
          <w:i w:val="1"/>
          <w:color w:val="000000"/>
        </w:rPr>
        <w:t>E</w:t>
      </w:r>
      <w:r>
        <w:rPr>
          <w:i w:val="1"/>
          <w:color w:val="000000"/>
        </w:rPr>
        <w:t>-</w:t>
      </w:r>
      <w:r>
        <w:rPr>
          <w:i w:val="1"/>
          <w:color w:val="000000"/>
        </w:rPr>
        <w:t>mail</w:t>
      </w:r>
      <w:r>
        <w:rPr>
          <w:i w:val="1"/>
          <w:color w:val="000000"/>
        </w:rPr>
        <w:t xml:space="preserve">: </w:t>
      </w:r>
      <w:r>
        <w:rPr>
          <w:i w:val="1"/>
          <w:color w:val="000000"/>
        </w:rPr>
        <w:t>evoskres</w:t>
      </w:r>
      <w:r>
        <w:rPr>
          <w:i w:val="1"/>
          <w:color w:val="000000"/>
        </w:rPr>
        <w:t>705@</w:t>
      </w:r>
      <w:r>
        <w:rPr>
          <w:i w:val="1"/>
          <w:color w:val="000000"/>
        </w:rPr>
        <w:t>mail</w:t>
      </w:r>
      <w:r>
        <w:rPr>
          <w:i w:val="1"/>
          <w:color w:val="000000"/>
        </w:rPr>
        <w:t>.</w:t>
      </w:r>
      <w:r>
        <w:rPr>
          <w:i w:val="1"/>
          <w:color w:val="000000"/>
        </w:rPr>
        <w:t>ru</w:t>
      </w:r>
    </w:p>
    <w:p w14:paraId="0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397"/>
        <w:jc w:val="both"/>
      </w:pPr>
      <w:r>
        <w:t xml:space="preserve">Условия </w:t>
      </w:r>
      <w:r>
        <w:t>приготовления</w:t>
      </w:r>
      <w:r>
        <w:t xml:space="preserve"> твердых катализаторов являются</w:t>
      </w:r>
      <w:r>
        <w:t xml:space="preserve"> важнейшими факторами, влияющими на их активность и стабильность, особенно в том случае, если активная фаза на поверхности содержит компоненты, подверженные химических превращениям в ходе синтеза. К </w:t>
      </w:r>
      <w:r>
        <w:t xml:space="preserve">ним </w:t>
      </w:r>
      <w:r>
        <w:t>относ</w:t>
      </w:r>
      <w:r>
        <w:t>я</w:t>
      </w:r>
      <w:r>
        <w:t>тся, в частности,</w:t>
      </w:r>
      <w:r>
        <w:t xml:space="preserve"> </w:t>
      </w:r>
      <w:r>
        <w:t>FeCl</w:t>
      </w:r>
      <w:r>
        <w:rPr>
          <w:vertAlign w:val="subscript"/>
        </w:rPr>
        <w:t>3</w:t>
      </w:r>
      <w:r>
        <w:t xml:space="preserve"> и соответствующие хлоридные комплексные анионы. </w:t>
      </w:r>
      <w:r>
        <w:t xml:space="preserve">Стабилизация этих производных с помощью органических катионов, в частности, </w:t>
      </w:r>
      <w:r>
        <w:t>имидазолия</w:t>
      </w:r>
      <w:r>
        <w:t>, на поверхности кремнезема позвол</w:t>
      </w:r>
      <w:r>
        <w:t>яет</w:t>
      </w:r>
      <w:r>
        <w:t xml:space="preserve"> получить катализаторы окисления тиофена пероксидом водорода в углеводородной среде</w:t>
      </w:r>
      <w:r>
        <w:t xml:space="preserve"> [1]</w:t>
      </w:r>
      <w:r>
        <w:t xml:space="preserve">. </w:t>
      </w:r>
      <w:r>
        <w:t xml:space="preserve">Этот процесс является удобной моделью окислительной </w:t>
      </w:r>
      <w:r>
        <w:t>десульфуризации</w:t>
      </w:r>
      <w:r>
        <w:t xml:space="preserve"> нефтяного сырья, поскольку тиофен </w:t>
      </w:r>
      <w:r>
        <w:t xml:space="preserve">- </w:t>
      </w:r>
      <w:r>
        <w:t xml:space="preserve">наиболее </w:t>
      </w:r>
      <w:r>
        <w:t>трудноокисляем</w:t>
      </w:r>
      <w:r>
        <w:t>ое</w:t>
      </w:r>
      <w:r>
        <w:t xml:space="preserve"> соединение среди серосодержащих гетероциклов.</w:t>
      </w:r>
      <w:r>
        <w:t xml:space="preserve"> Цель настоящей работы – установление влияния структуры кремнезема и способа закрепления активной фазы на его поверхности на каталитические свойства </w:t>
      </w:r>
      <w:r>
        <w:t xml:space="preserve">иммобилизованного </w:t>
      </w:r>
      <w:r>
        <w:t>хлорферрата</w:t>
      </w:r>
      <w:r>
        <w:t xml:space="preserve"> </w:t>
      </w:r>
      <w:r>
        <w:t>алкил</w:t>
      </w:r>
      <w:r>
        <w:t>имидазол</w:t>
      </w:r>
      <w:r>
        <w:t>ия</w:t>
      </w:r>
      <w:r>
        <w:t>.</w:t>
      </w:r>
      <w:r>
        <w:t xml:space="preserve"> </w:t>
      </w:r>
    </w:p>
    <w:p w14:paraId="0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397"/>
        <w:jc w:val="both"/>
      </w:pPr>
      <w:r>
        <w:t>Железосодержащую</w:t>
      </w:r>
      <w:r>
        <w:t xml:space="preserve"> ионную жидкость </w:t>
      </w:r>
      <w:r>
        <w:t xml:space="preserve">(ИЖ) </w:t>
      </w:r>
      <w:r>
        <w:t xml:space="preserve">получали </w:t>
      </w:r>
      <w:r>
        <w:t>в растворе сухого ацетонитрила</w:t>
      </w:r>
      <w:r>
        <w:t xml:space="preserve"> из</w:t>
      </w:r>
      <w:r>
        <w:t xml:space="preserve"> </w:t>
      </w:r>
      <w:r>
        <w:t>FeCl</w:t>
      </w:r>
      <w:r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и хлорида</w:t>
      </w:r>
      <w:r>
        <w:t xml:space="preserve"> </w:t>
      </w:r>
      <w:r>
        <w:t>гексилэтилимидазолия</w:t>
      </w:r>
      <w:r>
        <w:t xml:space="preserve">. </w:t>
      </w:r>
      <w:r>
        <w:t xml:space="preserve">Для анализа </w:t>
      </w:r>
      <w:r>
        <w:t xml:space="preserve">исходной и синтезированной ИЖ </w:t>
      </w:r>
      <w:r>
        <w:t>использовали ИК-спектроскопию</w:t>
      </w:r>
      <w:r>
        <w:t xml:space="preserve">. </w:t>
      </w:r>
      <w:r>
        <w:t>Согласно этим данным</w:t>
      </w:r>
      <w:r>
        <w:t>,</w:t>
      </w:r>
      <w:r>
        <w:t xml:space="preserve"> в ходе синтеза происходит частичный гидролиз </w:t>
      </w:r>
      <w:r>
        <w:t>FeCl</w:t>
      </w:r>
      <w:r>
        <w:rPr>
          <w:vertAlign w:val="subscript"/>
        </w:rPr>
        <w:t>3</w:t>
      </w:r>
      <w:r>
        <w:t>, что</w:t>
      </w:r>
      <w:r>
        <w:t>, как оказалось в дальнейшем</w:t>
      </w:r>
      <w:r>
        <w:t>,</w:t>
      </w:r>
      <w:r>
        <w:t xml:space="preserve"> отрицательно влияет на катализ. </w:t>
      </w:r>
      <w:r>
        <w:t>П</w:t>
      </w:r>
      <w:r>
        <w:t>олученно</w:t>
      </w:r>
      <w:r>
        <w:t>е</w:t>
      </w:r>
      <w:r>
        <w:t xml:space="preserve"> производно</w:t>
      </w:r>
      <w:r>
        <w:t>е</w:t>
      </w:r>
      <w:r>
        <w:t xml:space="preserve"> </w:t>
      </w:r>
      <w:r>
        <w:t xml:space="preserve">наносили </w:t>
      </w:r>
      <w:r>
        <w:t xml:space="preserve">на поверхность </w:t>
      </w:r>
      <w:r>
        <w:t xml:space="preserve">силикагеля </w:t>
      </w:r>
      <w:r>
        <w:t xml:space="preserve">(сферические гранулы, </w:t>
      </w:r>
      <w:r>
        <w:t>S</w:t>
      </w:r>
      <w:r>
        <w:rPr>
          <w:vertAlign w:val="subscript"/>
        </w:rPr>
        <w:t>уд.</w:t>
      </w:r>
      <w:r>
        <w:t xml:space="preserve"> 300 м</w:t>
      </w:r>
      <w:r>
        <w:rPr>
          <w:vertAlign w:val="superscript"/>
        </w:rPr>
        <w:t>2</w:t>
      </w:r>
      <w:r>
        <w:t>/</w:t>
      </w:r>
      <w:r>
        <w:t xml:space="preserve">г, </w:t>
      </w:r>
      <w:r>
        <w:t>V</w:t>
      </w:r>
      <w:r>
        <w:rPr>
          <w:vertAlign w:val="subscript"/>
        </w:rPr>
        <w:t>пор</w:t>
      </w:r>
      <w:r>
        <w:t xml:space="preserve"> 0.95 см</w:t>
      </w:r>
      <w:r>
        <w:rPr>
          <w:vertAlign w:val="superscript"/>
        </w:rPr>
        <w:t>3</w:t>
      </w:r>
      <w:r>
        <w:t>/</w:t>
      </w:r>
      <w:r>
        <w:t xml:space="preserve">г, </w:t>
      </w:r>
      <w:r>
        <w:t>D</w:t>
      </w:r>
      <w:r>
        <w:rPr>
          <w:vertAlign w:val="subscript"/>
        </w:rPr>
        <w:t>пор</w:t>
      </w:r>
      <w:r>
        <w:t xml:space="preserve"> </w:t>
      </w:r>
      <w:r>
        <w:t>1</w:t>
      </w:r>
      <w:r>
        <w:t>0</w:t>
      </w:r>
      <w:r>
        <w:t xml:space="preserve"> </w:t>
      </w:r>
      <w:r>
        <w:t>нм)</w:t>
      </w:r>
      <w:r>
        <w:t xml:space="preserve"> методом суспензионной пропитки</w:t>
      </w:r>
      <w:r>
        <w:t xml:space="preserve">. Кроме того, на этом же носителе синтезировали </w:t>
      </w:r>
      <w:r>
        <w:t xml:space="preserve">аналогичный </w:t>
      </w:r>
      <w:r>
        <w:t xml:space="preserve">катализатор </w:t>
      </w:r>
      <w:r>
        <w:t>in</w:t>
      </w:r>
      <w:r>
        <w:t xml:space="preserve"> </w:t>
      </w:r>
      <w:r>
        <w:t>situ</w:t>
      </w:r>
      <w:r>
        <w:t>.</w:t>
      </w:r>
      <w:r>
        <w:t xml:space="preserve"> </w:t>
      </w:r>
      <w:r>
        <w:t xml:space="preserve">По такой же методике </w:t>
      </w:r>
      <w:r>
        <w:t>готовили</w:t>
      </w:r>
      <w:r>
        <w:t xml:space="preserve"> образцы на </w:t>
      </w:r>
      <w:r>
        <w:t>синтетичес</w:t>
      </w:r>
      <w:r>
        <w:t>ком</w:t>
      </w:r>
      <w:r>
        <w:t xml:space="preserve"> опал</w:t>
      </w:r>
      <w:r>
        <w:t>е</w:t>
      </w:r>
      <w:r>
        <w:t xml:space="preserve"> (</w:t>
      </w:r>
      <w:r>
        <w:t>гранулы</w:t>
      </w:r>
      <w:r>
        <w:t xml:space="preserve">, </w:t>
      </w:r>
      <w:r>
        <w:t>состоящи</w:t>
      </w:r>
      <w:r>
        <w:t>е</w:t>
      </w:r>
      <w:r>
        <w:t xml:space="preserve"> из сферических непористых частиц SiO</w:t>
      </w:r>
      <w:r>
        <w:rPr>
          <w:vertAlign w:val="subscript"/>
        </w:rPr>
        <w:t>2</w:t>
      </w:r>
      <w:r>
        <w:t xml:space="preserve"> </w:t>
      </w:r>
      <w:r>
        <w:t>d</w:t>
      </w:r>
      <w:r>
        <w:t xml:space="preserve"> ~700 нм</w:t>
      </w:r>
      <w:r>
        <w:t xml:space="preserve">, </w:t>
      </w:r>
      <w:r>
        <w:t>S</w:t>
      </w:r>
      <w:r>
        <w:rPr>
          <w:vertAlign w:val="subscript"/>
        </w:rPr>
        <w:t>уд.</w:t>
      </w:r>
      <w:r>
        <w:t>~12 м</w:t>
      </w:r>
      <w:r>
        <w:rPr>
          <w:vertAlign w:val="superscript"/>
        </w:rPr>
        <w:t>2</w:t>
      </w:r>
      <w:r>
        <w:t>/г</w:t>
      </w:r>
      <w:r>
        <w:t>, размер п</w:t>
      </w:r>
      <w:r>
        <w:t>ор между частицами 100-300 нм</w:t>
      </w:r>
      <w:r>
        <w:t xml:space="preserve">, </w:t>
      </w:r>
      <w:r>
        <w:t>V</w:t>
      </w:r>
      <w:r>
        <w:rPr>
          <w:vertAlign w:val="subscript"/>
        </w:rPr>
        <w:t>пор</w:t>
      </w:r>
      <w:r>
        <w:t xml:space="preserve"> 0.</w:t>
      </w:r>
      <w:r>
        <w:t>2</w:t>
      </w:r>
      <w:r>
        <w:t>5 см</w:t>
      </w:r>
      <w:r>
        <w:rPr>
          <w:vertAlign w:val="superscript"/>
        </w:rPr>
        <w:t>3</w:t>
      </w:r>
      <w:r>
        <w:t>/</w:t>
      </w:r>
      <w:r>
        <w:t>г</w:t>
      </w:r>
      <w:r>
        <w:t>)</w:t>
      </w:r>
      <w:r>
        <w:t xml:space="preserve"> и </w:t>
      </w:r>
      <w:r>
        <w:t>мезопористо</w:t>
      </w:r>
      <w:r>
        <w:t>м</w:t>
      </w:r>
      <w:r>
        <w:t xml:space="preserve"> кремнезем</w:t>
      </w:r>
      <w:r>
        <w:t>е</w:t>
      </w:r>
      <w:r>
        <w:t xml:space="preserve"> (</w:t>
      </w:r>
      <w:r>
        <w:t>гранулы</w:t>
      </w:r>
      <w:r>
        <w:t xml:space="preserve">, </w:t>
      </w:r>
      <w:r>
        <w:t>S</w:t>
      </w:r>
      <w:r>
        <w:rPr>
          <w:vertAlign w:val="subscript"/>
        </w:rPr>
        <w:t>уд.</w:t>
      </w:r>
      <w:r>
        <w:t>~</w:t>
      </w:r>
      <w:r>
        <w:t>5</w:t>
      </w:r>
      <w:r>
        <w:t>0 м</w:t>
      </w:r>
      <w:r>
        <w:rPr>
          <w:vertAlign w:val="superscript"/>
        </w:rPr>
        <w:t>2</w:t>
      </w:r>
      <w:r>
        <w:t xml:space="preserve">/г, </w:t>
      </w:r>
      <w:r>
        <w:t>V</w:t>
      </w:r>
      <w:r>
        <w:rPr>
          <w:vertAlign w:val="subscript"/>
        </w:rPr>
        <w:t>пор</w:t>
      </w:r>
      <w:r>
        <w:t xml:space="preserve"> 0.17 см</w:t>
      </w:r>
      <w:r>
        <w:rPr>
          <w:vertAlign w:val="superscript"/>
        </w:rPr>
        <w:t>3</w:t>
      </w:r>
      <w:r>
        <w:t>/</w:t>
      </w:r>
      <w:r>
        <w:t>г,</w:t>
      </w:r>
      <w:r>
        <w:t xml:space="preserve"> </w:t>
      </w:r>
      <w:r>
        <w:t>D</w:t>
      </w:r>
      <w:r>
        <w:rPr>
          <w:vertAlign w:val="subscript"/>
        </w:rPr>
        <w:t>пор</w:t>
      </w:r>
      <w:r>
        <w:t xml:space="preserve"> </w:t>
      </w:r>
      <w:r>
        <w:t>~</w:t>
      </w:r>
      <w:r>
        <w:t>1</w:t>
      </w:r>
      <w:r>
        <w:t>2 нм</w:t>
      </w:r>
      <w:r>
        <w:t>)</w:t>
      </w:r>
      <w:r>
        <w:t xml:space="preserve">. Для сравнения получен образец </w:t>
      </w:r>
      <w:r>
        <w:t xml:space="preserve">близкого состава путем ковалентного связывания </w:t>
      </w:r>
      <w:r>
        <w:t>имидазольного</w:t>
      </w:r>
      <w:r>
        <w:t xml:space="preserve"> катиона с</w:t>
      </w:r>
      <w:r>
        <w:t xml:space="preserve"> силикагелем</w:t>
      </w:r>
      <w:r>
        <w:t>. С</w:t>
      </w:r>
      <w:r>
        <w:t>остав и структуру поверхности</w:t>
      </w:r>
      <w:r>
        <w:t xml:space="preserve"> </w:t>
      </w:r>
      <w:r>
        <w:t xml:space="preserve">образцов </w:t>
      </w:r>
      <w:r>
        <w:t>определяли с помощью</w:t>
      </w:r>
      <w:r>
        <w:t xml:space="preserve"> СЭМ-ЭДА, </w:t>
      </w:r>
      <w:r>
        <w:t>РФлА</w:t>
      </w:r>
      <w:r>
        <w:t xml:space="preserve"> и РФЭС. </w:t>
      </w:r>
      <w:r>
        <w:t xml:space="preserve">Приготовленные катализаторы содержат около 1 масс.% </w:t>
      </w:r>
      <w:r>
        <w:t>Fe</w:t>
      </w:r>
      <w:r>
        <w:t>.</w:t>
      </w:r>
    </w:p>
    <w:p w14:paraId="0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426"/>
        <w:jc w:val="both"/>
      </w:pPr>
      <w:r>
        <w:t xml:space="preserve">Все </w:t>
      </w:r>
      <w:r>
        <w:t xml:space="preserve">образцы </w:t>
      </w:r>
      <w:r>
        <w:t xml:space="preserve">оказались </w:t>
      </w:r>
      <w:r>
        <w:t>активн</w:t>
      </w:r>
      <w:r>
        <w:t>ыми</w:t>
      </w:r>
      <w:r>
        <w:t xml:space="preserve"> в тестовой реакции</w:t>
      </w:r>
      <w:r>
        <w:t xml:space="preserve"> окисления тиофена пероксидом водорода</w:t>
      </w:r>
      <w:r>
        <w:t xml:space="preserve">, </w:t>
      </w:r>
      <w:r>
        <w:t>при этом скорость и глубина реакции за стандартное время</w:t>
      </w:r>
      <w:r>
        <w:t xml:space="preserve"> </w:t>
      </w:r>
      <w:r>
        <w:t>определяется величиной удельной поверхности носителя</w:t>
      </w:r>
      <w:r>
        <w:t xml:space="preserve"> и объемом пор</w:t>
      </w:r>
      <w:r>
        <w:t xml:space="preserve">, а также степенью гидролиза </w:t>
      </w:r>
      <w:r>
        <w:t>хлорферратных</w:t>
      </w:r>
      <w:r>
        <w:t xml:space="preserve"> анионов.</w:t>
      </w:r>
      <w:r>
        <w:t xml:space="preserve"> Наибольшая конверсия тиофена (около 60% за 4 часа) получена на катализаторе, </w:t>
      </w:r>
      <w:r>
        <w:t>приготовленном</w:t>
      </w:r>
      <w:r>
        <w:t xml:space="preserve"> </w:t>
      </w:r>
      <w:r>
        <w:t>in</w:t>
      </w:r>
      <w:r>
        <w:t xml:space="preserve"> </w:t>
      </w:r>
      <w:r>
        <w:t>situ</w:t>
      </w:r>
      <w:r>
        <w:t xml:space="preserve"> на силикагеле</w:t>
      </w:r>
      <w:r>
        <w:t>, несколько меньшая – на опале</w:t>
      </w:r>
      <w:r>
        <w:t xml:space="preserve">, однако гранулы этого катализатора полностью разрушились при его </w:t>
      </w:r>
      <w:r>
        <w:t xml:space="preserve">длительном </w:t>
      </w:r>
      <w:r>
        <w:t xml:space="preserve">использовании. </w:t>
      </w:r>
      <w:r>
        <w:t xml:space="preserve">Катализатор, полученный ковалентным связыванием </w:t>
      </w:r>
      <w:r>
        <w:t>имидазолиевого</w:t>
      </w:r>
      <w:r>
        <w:t xml:space="preserve"> катиона с поверхностью силикагеля, оказался менее активным, </w:t>
      </w:r>
      <w:r>
        <w:t xml:space="preserve">но </w:t>
      </w:r>
      <w:r>
        <w:t xml:space="preserve">самым </w:t>
      </w:r>
      <w:r>
        <w:t>стабильн</w:t>
      </w:r>
      <w:r>
        <w:t>ым</w:t>
      </w:r>
      <w:r>
        <w:t xml:space="preserve"> </w:t>
      </w:r>
      <w:r>
        <w:t xml:space="preserve">в </w:t>
      </w:r>
      <w:r>
        <w:t xml:space="preserve">пяти </w:t>
      </w:r>
      <w:r>
        <w:t>последовательных циклах окисления тиофена</w:t>
      </w:r>
      <w:r>
        <w:t>.</w:t>
      </w:r>
    </w:p>
    <w:p w14:paraId="0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426"/>
        <w:jc w:val="both"/>
        <w:rPr>
          <w:color w:val="000000"/>
        </w:rPr>
      </w:pPr>
    </w:p>
    <w:p w14:paraId="0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397"/>
        <w:jc w:val="both"/>
        <w:rPr>
          <w:i w:val="1"/>
          <w:color w:val="000000"/>
        </w:rPr>
      </w:pPr>
      <w:r>
        <w:rPr>
          <w:i w:val="1"/>
          <w:color w:val="000000"/>
        </w:rPr>
        <w:t>Автор</w:t>
      </w:r>
      <w:r>
        <w:rPr>
          <w:i w:val="1"/>
          <w:color w:val="000000"/>
        </w:rPr>
        <w:t>ы</w:t>
      </w:r>
      <w:r>
        <w:rPr>
          <w:i w:val="1"/>
          <w:color w:val="000000"/>
        </w:rPr>
        <w:t xml:space="preserve"> выража</w:t>
      </w:r>
      <w:r>
        <w:rPr>
          <w:i w:val="1"/>
          <w:color w:val="000000"/>
        </w:rPr>
        <w:t>ю</w:t>
      </w:r>
      <w:r>
        <w:rPr>
          <w:i w:val="1"/>
          <w:color w:val="000000"/>
        </w:rPr>
        <w:t>т благодарность</w:t>
      </w:r>
      <w:r>
        <w:rPr>
          <w:i w:val="1"/>
          <w:color w:val="000000"/>
        </w:rPr>
        <w:t xml:space="preserve"> к.х.н., </w:t>
      </w:r>
      <w:r>
        <w:rPr>
          <w:i w:val="1"/>
          <w:color w:val="000000"/>
        </w:rPr>
        <w:t>ст.</w:t>
      </w:r>
      <w:r>
        <w:rPr>
          <w:i w:val="1"/>
          <w:color w:val="000000"/>
        </w:rPr>
        <w:t>н.</w:t>
      </w:r>
      <w:r>
        <w:rPr>
          <w:i w:val="1"/>
          <w:color w:val="000000"/>
        </w:rPr>
        <w:t>сотр</w:t>
      </w:r>
      <w:r>
        <w:rPr>
          <w:i w:val="1"/>
          <w:color w:val="000000"/>
        </w:rPr>
        <w:t>уднику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>Физико</w:t>
      </w:r>
      <w:r>
        <w:rPr>
          <w:i w:val="1"/>
          <w:color w:val="000000"/>
        </w:rPr>
        <w:t>-</w:t>
      </w:r>
      <w:r>
        <w:rPr>
          <w:i w:val="1"/>
          <w:color w:val="000000"/>
        </w:rPr>
        <w:t>технический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>институт</w:t>
      </w:r>
      <w:r>
        <w:rPr>
          <w:i w:val="1"/>
          <w:color w:val="000000"/>
        </w:rPr>
        <w:t>а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>им</w:t>
      </w:r>
      <w:r>
        <w:rPr>
          <w:i w:val="1"/>
          <w:color w:val="000000"/>
        </w:rPr>
        <w:t xml:space="preserve">. </w:t>
      </w:r>
      <w:r>
        <w:rPr>
          <w:i w:val="1"/>
          <w:color w:val="000000"/>
        </w:rPr>
        <w:t>А</w:t>
      </w:r>
      <w:r>
        <w:rPr>
          <w:i w:val="1"/>
          <w:color w:val="000000"/>
        </w:rPr>
        <w:t>.</w:t>
      </w:r>
      <w:r>
        <w:rPr>
          <w:i w:val="1"/>
          <w:color w:val="000000"/>
        </w:rPr>
        <w:t>Ф</w:t>
      </w:r>
      <w:r>
        <w:rPr>
          <w:i w:val="1"/>
          <w:color w:val="000000"/>
        </w:rPr>
        <w:t xml:space="preserve">. </w:t>
      </w:r>
      <w:r>
        <w:rPr>
          <w:i w:val="1"/>
          <w:color w:val="000000"/>
        </w:rPr>
        <w:t>Иоффе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>Российской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>академии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>наук</w:t>
      </w:r>
      <w:r>
        <w:rPr>
          <w:i w:val="1"/>
          <w:color w:val="000000"/>
        </w:rPr>
        <w:t xml:space="preserve">, </w:t>
      </w:r>
      <w:r>
        <w:rPr>
          <w:i w:val="1"/>
          <w:color w:val="000000"/>
        </w:rPr>
        <w:t>Санкт</w:t>
      </w:r>
      <w:r>
        <w:rPr>
          <w:i w:val="1"/>
          <w:color w:val="000000"/>
        </w:rPr>
        <w:t>-</w:t>
      </w:r>
      <w:r>
        <w:rPr>
          <w:i w:val="1"/>
          <w:color w:val="000000"/>
        </w:rPr>
        <w:t>Петербург</w:t>
      </w:r>
      <w:r>
        <w:rPr>
          <w:i w:val="1"/>
          <w:color w:val="000000"/>
        </w:rPr>
        <w:t xml:space="preserve">, </w:t>
      </w:r>
      <w:r>
        <w:rPr>
          <w:i w:val="1"/>
          <w:color w:val="000000"/>
        </w:rPr>
        <w:t xml:space="preserve">Курдюкову Д.А. </w:t>
      </w:r>
      <w:r>
        <w:rPr>
          <w:i w:val="1"/>
          <w:color w:val="000000"/>
        </w:rPr>
        <w:t xml:space="preserve">за предоставление образцов синтетического опала и </w:t>
      </w:r>
      <w:r>
        <w:rPr>
          <w:i w:val="1"/>
          <w:color w:val="000000"/>
        </w:rPr>
        <w:t>мезопористого</w:t>
      </w:r>
      <w:r>
        <w:rPr>
          <w:i w:val="1"/>
          <w:color w:val="000000"/>
        </w:rPr>
        <w:t xml:space="preserve"> кремнезема </w:t>
      </w:r>
      <w:r>
        <w:rPr>
          <w:i w:val="1"/>
          <w:color w:val="000000"/>
        </w:rPr>
        <w:t>.</w:t>
      </w:r>
    </w:p>
    <w:p w14:paraId="0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397"/>
        <w:jc w:val="both"/>
        <w:rPr>
          <w:i w:val="1"/>
          <w:color w:val="000000"/>
        </w:rPr>
      </w:pPr>
    </w:p>
    <w:p w14:paraId="0D000000">
      <w:pPr>
        <w:widowControl w:val="1"/>
        <w:ind w:right="-30"/>
        <w:jc w:val="both"/>
        <w:rPr>
          <w:color w:val="000000"/>
          <w:sz w:val="22"/>
        </w:rPr>
      </w:pPr>
      <w:r>
        <w:rPr>
          <w:sz w:val="22"/>
        </w:rPr>
        <w:t>1.</w:t>
      </w:r>
      <w:r>
        <w:rPr>
          <w:sz w:val="22"/>
        </w:rPr>
        <w:fldChar w:fldCharType="begin"/>
      </w:r>
      <w:r>
        <w:rPr>
          <w:sz w:val="22"/>
        </w:rPr>
        <w:instrText>HYPERLINK "https://istina.msu.ru/workers/1749736/" \o "Тарханова Ирина Геннадиевна (перейти на страницу сотрудника)"</w:instrText>
      </w:r>
      <w:r>
        <w:rPr>
          <w:sz w:val="22"/>
        </w:rPr>
        <w:fldChar w:fldCharType="separate"/>
      </w:r>
      <w:r>
        <w:rPr>
          <w:sz w:val="22"/>
        </w:rPr>
        <w:t>Tarkhanova I.G.</w:t>
      </w:r>
      <w:r>
        <w:rPr>
          <w:sz w:val="22"/>
        </w:rPr>
        <w:fldChar w:fldCharType="end"/>
      </w:r>
      <w:r>
        <w:rPr>
          <w:sz w:val="22"/>
        </w:rPr>
        <w:t>, </w:t>
      </w:r>
      <w:r>
        <w:rPr>
          <w:sz w:val="22"/>
        </w:rPr>
        <w:fldChar w:fldCharType="begin"/>
      </w:r>
      <w:r>
        <w:rPr>
          <w:sz w:val="22"/>
        </w:rPr>
        <w:instrText>HYPERLINK "https://istina.msu.ru/workers/7863040/" \o "Али-заде Али Гошгар оглы (перейти на страницу сотрудника)"</w:instrText>
      </w:r>
      <w:r>
        <w:rPr>
          <w:sz w:val="22"/>
        </w:rPr>
        <w:fldChar w:fldCharType="separate"/>
      </w:r>
      <w:r>
        <w:rPr>
          <w:sz w:val="22"/>
        </w:rPr>
        <w:t>Ali-Zade A.G.</w:t>
      </w:r>
      <w:r>
        <w:rPr>
          <w:sz w:val="22"/>
        </w:rPr>
        <w:fldChar w:fldCharType="end"/>
      </w:r>
      <w:r>
        <w:rPr>
          <w:sz w:val="22"/>
        </w:rPr>
        <w:t>, </w:t>
      </w:r>
      <w:r>
        <w:rPr>
          <w:sz w:val="22"/>
        </w:rPr>
        <w:fldChar w:fldCharType="begin"/>
      </w:r>
      <w:r>
        <w:rPr>
          <w:sz w:val="22"/>
        </w:rPr>
        <w:instrText>HYPERLINK "https://istina.msu.ru/workers/87731593/" \o "Буряк Алексей Константинович (перейти на страницу сотрудника)"</w:instrText>
      </w:r>
      <w:r>
        <w:rPr>
          <w:sz w:val="22"/>
        </w:rPr>
        <w:fldChar w:fldCharType="separate"/>
      </w:r>
      <w:r>
        <w:rPr>
          <w:sz w:val="22"/>
        </w:rPr>
        <w:t>Buryak</w:t>
      </w:r>
      <w:r>
        <w:rPr>
          <w:sz w:val="22"/>
        </w:rPr>
        <w:t xml:space="preserve"> A.K.</w:t>
      </w:r>
      <w:r>
        <w:rPr>
          <w:sz w:val="22"/>
        </w:rPr>
        <w:fldChar w:fldCharType="end"/>
      </w:r>
      <w:r>
        <w:rPr>
          <w:sz w:val="22"/>
        </w:rPr>
        <w:t>, </w:t>
      </w:r>
      <w:r>
        <w:rPr>
          <w:sz w:val="22"/>
        </w:rPr>
        <w:fldChar w:fldCharType="begin"/>
      </w:r>
      <w:r>
        <w:rPr>
          <w:sz w:val="22"/>
        </w:rPr>
        <w:instrText>HYPERLINK "https://istina.msu.ru/workers/1870160/" \o "Зеликман Владимир Менделевич (перейти на страницу сотрудника)"</w:instrText>
      </w:r>
      <w:r>
        <w:rPr>
          <w:sz w:val="22"/>
        </w:rPr>
        <w:fldChar w:fldCharType="separate"/>
      </w:r>
      <w:r>
        <w:rPr>
          <w:sz w:val="22"/>
        </w:rPr>
        <w:t>Zelikman V.M.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highlight w:val="white"/>
        </w:rPr>
        <w:t> </w:t>
      </w:r>
      <w:r>
        <w:rPr>
          <w:rStyle w:val="Style_1_ch"/>
          <w:color w:val="000000"/>
          <w:sz w:val="22"/>
          <w:highlight w:val="white"/>
          <w:u w:val="none"/>
        </w:rPr>
        <w:fldChar w:fldCharType="begin"/>
      </w:r>
      <w:r>
        <w:rPr>
          <w:rStyle w:val="Style_1_ch"/>
          <w:color w:val="000000"/>
          <w:sz w:val="22"/>
          <w:highlight w:val="white"/>
          <w:u w:val="none"/>
        </w:rPr>
        <w:instrText>HYPERLINK "https://istina.msu.ru/publications/article/563927371/" \o "Перейти на страницу статьи"</w:instrText>
      </w:r>
      <w:r>
        <w:rPr>
          <w:rStyle w:val="Style_1_ch"/>
          <w:color w:val="000000"/>
          <w:sz w:val="22"/>
          <w:highlight w:val="white"/>
          <w:u w:val="none"/>
        </w:rPr>
        <w:fldChar w:fldCharType="separate"/>
      </w:r>
      <w:r>
        <w:rPr>
          <w:rStyle w:val="Style_1_ch"/>
          <w:color w:val="000000"/>
          <w:sz w:val="22"/>
          <w:highlight w:val="white"/>
          <w:u w:val="none"/>
        </w:rPr>
        <w:t xml:space="preserve">Effect of Metal-Containing Anions on the Catalytic Properties of Imidazolium Derivatives Immobilized on </w:t>
      </w:r>
      <w:r>
        <w:rPr>
          <w:rStyle w:val="Style_1_ch"/>
          <w:color w:val="000000"/>
          <w:sz w:val="22"/>
          <w:highlight w:val="white"/>
          <w:u w:val="none"/>
        </w:rPr>
        <w:t>Silochrome</w:t>
      </w:r>
      <w:r>
        <w:rPr>
          <w:rStyle w:val="Style_1_ch"/>
          <w:color w:val="000000"/>
          <w:sz w:val="22"/>
          <w:highlight w:val="white"/>
          <w:u w:val="none"/>
        </w:rPr>
        <w:t xml:space="preserve"> in Oxidative Desulfurization</w:t>
      </w:r>
      <w:r>
        <w:rPr>
          <w:rStyle w:val="Style_1_ch"/>
          <w:color w:val="000000"/>
          <w:sz w:val="22"/>
          <w:highlight w:val="white"/>
          <w:u w:val="none"/>
        </w:rPr>
        <w:fldChar w:fldCharType="end"/>
      </w:r>
      <w:r>
        <w:rPr>
          <w:sz w:val="22"/>
        </w:rPr>
        <w:t xml:space="preserve">. </w:t>
      </w:r>
      <w:r>
        <w:rPr>
          <w:sz w:val="22"/>
          <w:highlight w:val="white"/>
        </w:rPr>
        <w:t> </w:t>
      </w:r>
      <w:r>
        <w:rPr>
          <w:rStyle w:val="Style_1_ch"/>
          <w:i w:val="1"/>
          <w:color w:val="000000"/>
          <w:sz w:val="22"/>
          <w:highlight w:val="white"/>
          <w:u w:val="none"/>
        </w:rPr>
        <w:fldChar w:fldCharType="begin"/>
      </w:r>
      <w:r>
        <w:rPr>
          <w:rStyle w:val="Style_1_ch"/>
          <w:i w:val="1"/>
          <w:color w:val="000000"/>
          <w:sz w:val="22"/>
          <w:highlight w:val="white"/>
          <w:u w:val="none"/>
        </w:rPr>
        <w:instrText>HYPERLINK "https://istina.msu.ru/journals/1071240/" \o "Перейти на страницу журнала"</w:instrText>
      </w:r>
      <w:r>
        <w:rPr>
          <w:rStyle w:val="Style_1_ch"/>
          <w:i w:val="1"/>
          <w:color w:val="000000"/>
          <w:sz w:val="22"/>
          <w:highlight w:val="white"/>
          <w:u w:val="none"/>
        </w:rPr>
        <w:fldChar w:fldCharType="separate"/>
      </w:r>
      <w:r>
        <w:rPr>
          <w:rStyle w:val="Style_1_ch"/>
          <w:i w:val="1"/>
          <w:color w:val="000000"/>
          <w:sz w:val="22"/>
          <w:highlight w:val="white"/>
          <w:u w:val="none"/>
        </w:rPr>
        <w:t>Catalysis in Industry</w:t>
      </w:r>
      <w:r>
        <w:rPr>
          <w:rStyle w:val="Style_1_ch"/>
          <w:i w:val="1"/>
          <w:color w:val="000000"/>
          <w:sz w:val="22"/>
          <w:highlight w:val="white"/>
          <w:u w:val="none"/>
        </w:rPr>
        <w:fldChar w:fldCharType="end"/>
      </w:r>
      <w:r>
        <w:rPr>
          <w:sz w:val="22"/>
          <w:highlight w:val="white"/>
        </w:rPr>
        <w:t xml:space="preserve">, 2023. </w:t>
      </w:r>
      <w:r>
        <w:rPr>
          <w:sz w:val="22"/>
          <w:highlight w:val="white"/>
        </w:rPr>
        <w:t>том</w:t>
      </w:r>
      <w:r>
        <w:rPr>
          <w:sz w:val="22"/>
          <w:highlight w:val="white"/>
        </w:rPr>
        <w:t xml:space="preserve"> 15, № 2, </w:t>
      </w:r>
      <w:r>
        <w:rPr>
          <w:sz w:val="22"/>
          <w:highlight w:val="white"/>
        </w:rPr>
        <w:t>с</w:t>
      </w:r>
      <w:r>
        <w:rPr>
          <w:sz w:val="22"/>
          <w:highlight w:val="white"/>
        </w:rPr>
        <w:t>. 125-13</w:t>
      </w:r>
      <w:r>
        <w:rPr>
          <w:sz w:val="22"/>
          <w:highlight w:val="white"/>
        </w:rPr>
        <w:t>1. </w:t>
      </w:r>
    </w:p>
    <w:sectPr>
      <w:pgSz w:h="16838" w:orient="portrait" w:w="11906"/>
      <w:pgMar w:bottom="1134" w:footer="709" w:gutter="0" w:header="709" w:left="1361" w:right="1361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80" w:before="280"/>
      <w:ind/>
      <w:outlineLvl w:val="2"/>
    </w:pPr>
    <w:rPr>
      <w:b w:val="1"/>
      <w:sz w:val="28"/>
    </w:rPr>
  </w:style>
  <w:style w:styleId="Style_8_ch" w:type="character">
    <w:name w:val="heading 3"/>
    <w:basedOn w:val="Style_2_ch"/>
    <w:link w:val="Style_8"/>
    <w:rPr>
      <w:b w:val="1"/>
      <w:sz w:val="28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Placeholder Text"/>
    <w:basedOn w:val="Style_11"/>
    <w:link w:val="Style_10_ch"/>
    <w:rPr>
      <w:color w:val="808080"/>
    </w:rPr>
  </w:style>
  <w:style w:styleId="Style_10_ch" w:type="character">
    <w:name w:val="Placeholder Text"/>
    <w:basedOn w:val="Style_11_ch"/>
    <w:link w:val="Style_10"/>
    <w:rPr>
      <w:color w:val="808080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Unresolved Mention"/>
    <w:basedOn w:val="Style_11"/>
    <w:link w:val="Style_13_ch"/>
    <w:rPr>
      <w:color w:val="605E5C"/>
      <w:shd w:fill="E1DFDD" w:val="clear"/>
    </w:rPr>
  </w:style>
  <w:style w:styleId="Style_13_ch" w:type="character">
    <w:name w:val="Unresolved Mention"/>
    <w:basedOn w:val="Style_11_ch"/>
    <w:link w:val="Style_13"/>
    <w:rPr>
      <w:color w:val="605E5C"/>
      <w:shd w:fill="E1DFDD" w:val="clear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4" w:type="paragraph">
    <w:name w:val="ezkurwreuab5ozgtqnkl"/>
    <w:basedOn w:val="Style_11"/>
    <w:link w:val="Style_14_ch"/>
  </w:style>
  <w:style w:styleId="Style_14_ch" w:type="character">
    <w:name w:val="ezkurwreuab5ozgtqnkl"/>
    <w:basedOn w:val="Style_11_ch"/>
    <w:link w:val="Style_14"/>
  </w:style>
  <w:style w:styleId="Style_15" w:type="paragraph">
    <w:name w:val="heading 5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40" w:before="220"/>
      <w:ind/>
      <w:outlineLvl w:val="4"/>
    </w:pPr>
    <w:rPr>
      <w:b w:val="1"/>
      <w:sz w:val="22"/>
    </w:rPr>
  </w:style>
  <w:style w:styleId="Style_15_ch" w:type="character">
    <w:name w:val="heading 5"/>
    <w:basedOn w:val="Style_2_ch"/>
    <w:link w:val="Style_15"/>
    <w:rPr>
      <w:b w:val="1"/>
      <w:sz w:val="22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120" w:before="480"/>
      <w:ind/>
      <w:outlineLvl w:val="0"/>
    </w:pPr>
    <w:rPr>
      <w:b w:val="1"/>
      <w:sz w:val="48"/>
    </w:rPr>
  </w:style>
  <w:style w:styleId="Style_16_ch" w:type="character">
    <w:name w:val="heading 1"/>
    <w:basedOn w:val="Style_2_ch"/>
    <w:link w:val="Style_16"/>
    <w:rPr>
      <w:b w:val="1"/>
      <w:sz w:val="48"/>
    </w:rPr>
  </w:style>
  <w:style w:styleId="Style_1" w:type="paragraph">
    <w:name w:val="Hyperlink"/>
    <w:basedOn w:val="Style_11"/>
    <w:link w:val="Style_1_ch"/>
    <w:rPr>
      <w:color w:themeColor="hyperlink" w:val="0000FF"/>
      <w:u w:val="single"/>
    </w:rPr>
  </w:style>
  <w:style w:styleId="Style_1_ch" w:type="character">
    <w:name w:val="Hyperlink"/>
    <w:basedOn w:val="Style_11_ch"/>
    <w:link w:val="Style_1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link w:val="Style_23_ch"/>
    <w:semiHidden w:val="1"/>
    <w:unhideWhenUsed w:val="1"/>
    <w:rPr>
      <w:rFonts w:ascii="Times New Roman" w:hAnsi="Times New Roman"/>
      <w:sz w:val="24"/>
    </w:rPr>
  </w:style>
  <w:style w:styleId="Style_23_ch" w:type="character">
    <w:link w:val="Style_23"/>
    <w:semiHidden w:val="1"/>
    <w:unhideWhenUsed w:val="1"/>
    <w:rPr>
      <w:rFonts w:ascii="Times New Roman" w:hAnsi="Times New Roman"/>
      <w:sz w:val="24"/>
    </w:rPr>
  </w:style>
  <w:style w:styleId="Style_24" w:type="paragraph">
    <w:name w:val="Subtitle"/>
    <w:basedOn w:val="Style_2"/>
    <w:next w:val="Style_2"/>
    <w:link w:val="Style_24_ch"/>
    <w:uiPriority w:val="11"/>
    <w:qFormat/>
    <w:pPr>
      <w:keepNext w:val="1"/>
      <w:keepLines w:val="1"/>
      <w:widowControl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4_ch" w:type="character">
    <w:name w:val="Subtitle"/>
    <w:basedOn w:val="Style_2_ch"/>
    <w:link w:val="Style_24"/>
    <w:rPr>
      <w:rFonts w:ascii="Georgia" w:hAnsi="Georgia"/>
      <w:i w:val="1"/>
      <w:color w:val="666666"/>
      <w:sz w:val="48"/>
    </w:rPr>
  </w:style>
  <w:style w:styleId="Style_25" w:type="paragraph">
    <w:name w:val="No Spacing"/>
    <w:link w:val="Style_25_ch"/>
    <w:rPr>
      <w:sz w:val="22"/>
    </w:rPr>
  </w:style>
  <w:style w:styleId="Style_25_ch" w:type="character">
    <w:name w:val="No Spacing"/>
    <w:link w:val="Style_25"/>
    <w:rPr>
      <w:sz w:val="22"/>
    </w:rPr>
  </w:style>
  <w:style w:styleId="Style_26" w:type="paragraph">
    <w:name w:val="Title"/>
    <w:basedOn w:val="Style_2"/>
    <w:next w:val="Style_2"/>
    <w:link w:val="Style_26_ch"/>
    <w:uiPriority w:val="10"/>
    <w:qFormat/>
    <w:pPr>
      <w:keepNext w:val="1"/>
      <w:keepLines w:val="1"/>
      <w:widowControl w:val="1"/>
      <w:spacing w:after="120" w:before="480"/>
      <w:ind/>
    </w:pPr>
    <w:rPr>
      <w:b w:val="1"/>
      <w:sz w:val="72"/>
    </w:rPr>
  </w:style>
  <w:style w:styleId="Style_26_ch" w:type="character">
    <w:name w:val="Title"/>
    <w:basedOn w:val="Style_2_ch"/>
    <w:link w:val="Style_26"/>
    <w:rPr>
      <w:b w:val="1"/>
      <w:sz w:val="72"/>
    </w:rPr>
  </w:style>
  <w:style w:styleId="Style_27" w:type="paragraph">
    <w:name w:val="heading 4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40" w:before="240"/>
      <w:ind/>
      <w:outlineLvl w:val="3"/>
    </w:pPr>
    <w:rPr>
      <w:b w:val="1"/>
    </w:rPr>
  </w:style>
  <w:style w:styleId="Style_27_ch" w:type="character">
    <w:name w:val="heading 4"/>
    <w:basedOn w:val="Style_2_ch"/>
    <w:link w:val="Style_27"/>
    <w:rPr>
      <w:b w:val="1"/>
    </w:rPr>
  </w:style>
  <w:style w:styleId="Style_28" w:type="paragraph">
    <w:name w:val="heading 2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80" w:before="360"/>
      <w:ind/>
      <w:outlineLvl w:val="1"/>
    </w:pPr>
    <w:rPr>
      <w:b w:val="1"/>
      <w:sz w:val="36"/>
    </w:rPr>
  </w:style>
  <w:style w:styleId="Style_28_ch" w:type="character">
    <w:name w:val="heading 2"/>
    <w:basedOn w:val="Style_2_ch"/>
    <w:link w:val="Style_28"/>
    <w:rPr>
      <w:b w:val="1"/>
      <w:sz w:val="36"/>
    </w:rPr>
  </w:style>
  <w:style w:styleId="Style_29" w:type="paragraph">
    <w:name w:val="heading 6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40" w:before="200"/>
      <w:ind/>
      <w:outlineLvl w:val="5"/>
    </w:pPr>
    <w:rPr>
      <w:b w:val="1"/>
      <w:sz w:val="20"/>
    </w:rPr>
  </w:style>
  <w:style w:styleId="Style_29_ch" w:type="character">
    <w:name w:val="heading 6"/>
    <w:basedOn w:val="Style_2_ch"/>
    <w:link w:val="Style_29"/>
    <w:rPr>
      <w:b w:val="1"/>
      <w:sz w:val="20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2025-02-26T09:14:00Z</dcterms:created>
  <dcterms:modified xsi:type="dcterms:W3CDTF">2025-03-03T11:24:20Z</dcterms:modified>
</cp:coreProperties>
</file>