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81E9" w14:textId="3E1C8E04" w:rsidR="00695CEF" w:rsidRDefault="00695C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95CEF">
        <w:rPr>
          <w:b/>
          <w:color w:val="000000"/>
        </w:rPr>
        <w:t xml:space="preserve">Сравнительный </w:t>
      </w:r>
      <w:r>
        <w:rPr>
          <w:b/>
          <w:color w:val="000000"/>
        </w:rPr>
        <w:t>а</w:t>
      </w:r>
      <w:r w:rsidRPr="00695CEF">
        <w:rPr>
          <w:b/>
          <w:color w:val="000000"/>
        </w:rPr>
        <w:t xml:space="preserve">нализ </w:t>
      </w:r>
      <w:r>
        <w:rPr>
          <w:b/>
          <w:color w:val="000000"/>
        </w:rPr>
        <w:t>нейронных сетей на кристаллическом графе: исследование э</w:t>
      </w:r>
      <w:r w:rsidRPr="00695CEF">
        <w:rPr>
          <w:b/>
          <w:color w:val="000000"/>
        </w:rPr>
        <w:t xml:space="preserve">кспериментальной </w:t>
      </w:r>
      <w:r>
        <w:rPr>
          <w:b/>
          <w:color w:val="000000"/>
        </w:rPr>
        <w:t>б</w:t>
      </w:r>
      <w:r w:rsidRPr="00695CEF">
        <w:rPr>
          <w:b/>
          <w:color w:val="000000"/>
        </w:rPr>
        <w:t xml:space="preserve">азы </w:t>
      </w:r>
      <w:r>
        <w:rPr>
          <w:b/>
          <w:color w:val="000000"/>
        </w:rPr>
        <w:t>д</w:t>
      </w:r>
      <w:r w:rsidRPr="00695CEF">
        <w:rPr>
          <w:b/>
          <w:color w:val="000000"/>
        </w:rPr>
        <w:t xml:space="preserve">анных </w:t>
      </w:r>
      <w:r>
        <w:rPr>
          <w:b/>
          <w:color w:val="000000"/>
        </w:rPr>
        <w:t>д</w:t>
      </w:r>
      <w:r w:rsidRPr="00695CEF">
        <w:rPr>
          <w:b/>
          <w:color w:val="000000"/>
        </w:rPr>
        <w:t xml:space="preserve">вумерных </w:t>
      </w:r>
      <w:r>
        <w:rPr>
          <w:b/>
          <w:color w:val="000000"/>
        </w:rPr>
        <w:t>п</w:t>
      </w:r>
      <w:r w:rsidRPr="00695CEF">
        <w:rPr>
          <w:b/>
          <w:color w:val="000000"/>
        </w:rPr>
        <w:t xml:space="preserve">еровскитоподобных </w:t>
      </w:r>
      <w:r>
        <w:rPr>
          <w:b/>
          <w:color w:val="000000"/>
        </w:rPr>
        <w:t>м</w:t>
      </w:r>
      <w:r w:rsidRPr="00695CEF">
        <w:rPr>
          <w:b/>
          <w:color w:val="000000"/>
        </w:rPr>
        <w:t>атериалов</w:t>
      </w:r>
    </w:p>
    <w:p w14:paraId="00000002" w14:textId="3EBA0A38" w:rsidR="00130241" w:rsidRPr="00695CEF" w:rsidRDefault="00695C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Дудаков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Королев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3631E7" w:rsidRPr="00CD75D4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Митрофанов А.А.</w:t>
      </w:r>
      <w:r>
        <w:rPr>
          <w:b/>
          <w:i/>
          <w:color w:val="000000"/>
          <w:vertAlign w:val="superscript"/>
        </w:rPr>
        <w:t>1,2</w:t>
      </w:r>
    </w:p>
    <w:p w14:paraId="00000003" w14:textId="6C8DAD5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5" w14:textId="4BF6985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C42926">
        <w:rPr>
          <w:i/>
          <w:color w:val="000000"/>
        </w:rPr>
        <w:t>институт искусственного интеллекта</w:t>
      </w:r>
      <w:r>
        <w:rPr>
          <w:i/>
          <w:color w:val="000000"/>
        </w:rPr>
        <w:t>, Москва, Россия</w:t>
      </w:r>
    </w:p>
    <w:p w14:paraId="23B2DAF8" w14:textId="7E5D0EEC" w:rsidR="00695CEF" w:rsidRPr="000E334E" w:rsidRDefault="00695CEF" w:rsidP="00695C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14:paraId="1ADA4293" w14:textId="42B7470B" w:rsidR="00CD00B1" w:rsidRPr="003631E7" w:rsidRDefault="00EB1F49" w:rsidP="00695C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95CEF">
        <w:rPr>
          <w:i/>
          <w:color w:val="000000"/>
          <w:lang w:val="en-US"/>
        </w:rPr>
        <w:t>E</w:t>
      </w:r>
      <w:r w:rsidR="003B76D6" w:rsidRPr="00695CEF">
        <w:rPr>
          <w:i/>
          <w:color w:val="000000"/>
          <w:lang w:val="en-US"/>
        </w:rPr>
        <w:t>-</w:t>
      </w:r>
      <w:r w:rsidRPr="00695CEF">
        <w:rPr>
          <w:i/>
          <w:color w:val="000000"/>
          <w:lang w:val="en-US"/>
        </w:rPr>
        <w:t xml:space="preserve">mail: </w:t>
      </w:r>
      <w:hyperlink r:id="rId6" w:history="1">
        <w:r w:rsidR="00045434" w:rsidRPr="00045434">
          <w:rPr>
            <w:rStyle w:val="a9"/>
            <w:i/>
            <w:iCs/>
            <w:color w:val="000000" w:themeColor="text1"/>
            <w:lang w:val="en-US"/>
          </w:rPr>
          <w:t>i.dudakov@iai.msu.ru</w:t>
        </w:r>
      </w:hyperlink>
    </w:p>
    <w:p w14:paraId="5A84622D" w14:textId="4F8D8E82" w:rsidR="00140FF1" w:rsidRDefault="00140FF1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40FF1">
        <w:rPr>
          <w:color w:val="000000"/>
        </w:rPr>
        <w:t xml:space="preserve">Двумерные (2D) гибридные перовскитоподобные материалы представляют собой класс органо-неорганических слоистых структур, которые являются производными от структурного типа перовскита. Этот класс материалов обладает высокой структурной </w:t>
      </w:r>
      <w:r w:rsidR="003631E7">
        <w:rPr>
          <w:color w:val="000000"/>
        </w:rPr>
        <w:t>вариативностью</w:t>
      </w:r>
      <w:r w:rsidRPr="00140FF1">
        <w:rPr>
          <w:color w:val="000000"/>
        </w:rPr>
        <w:t xml:space="preserve">, что открывает перспективы для разработки инновационных материалов для </w:t>
      </w:r>
      <w:r w:rsidR="003631E7" w:rsidRPr="00140FF1">
        <w:rPr>
          <w:color w:val="000000"/>
        </w:rPr>
        <w:t>фото</w:t>
      </w:r>
      <w:r w:rsidR="003631E7">
        <w:rPr>
          <w:color w:val="000000"/>
        </w:rPr>
        <w:t xml:space="preserve">вольтаики </w:t>
      </w:r>
      <w:r w:rsidRPr="00140FF1">
        <w:rPr>
          <w:color w:val="000000"/>
        </w:rPr>
        <w:t xml:space="preserve">и оптоэлектроники. Анализ кристаллических структур и их свойств, а также атомистическое моделирование требуют наличия </w:t>
      </w:r>
      <w:r w:rsidR="003631E7">
        <w:rPr>
          <w:color w:val="000000"/>
        </w:rPr>
        <w:t>курируемых</w:t>
      </w:r>
      <w:r w:rsidR="003631E7" w:rsidRPr="00140FF1">
        <w:rPr>
          <w:color w:val="000000"/>
        </w:rPr>
        <w:t xml:space="preserve"> </w:t>
      </w:r>
      <w:r w:rsidRPr="00140FF1">
        <w:rPr>
          <w:color w:val="000000"/>
        </w:rPr>
        <w:t xml:space="preserve">баз данных, в то время как </w:t>
      </w:r>
      <w:r w:rsidR="003631E7">
        <w:rPr>
          <w:color w:val="000000"/>
        </w:rPr>
        <w:t xml:space="preserve">расчет физико-химических свойств для соединений, представленных в таких </w:t>
      </w:r>
      <w:r w:rsidRPr="00140FF1">
        <w:rPr>
          <w:color w:val="000000"/>
        </w:rPr>
        <w:t>баз</w:t>
      </w:r>
      <w:r w:rsidR="003631E7">
        <w:rPr>
          <w:color w:val="000000"/>
        </w:rPr>
        <w:t>ах</w:t>
      </w:r>
      <w:r w:rsidRPr="00140FF1">
        <w:rPr>
          <w:color w:val="000000"/>
        </w:rPr>
        <w:t xml:space="preserve"> данных </w:t>
      </w:r>
      <w:r w:rsidR="003631E7">
        <w:rPr>
          <w:color w:val="000000"/>
        </w:rPr>
        <w:t>предполагает</w:t>
      </w:r>
      <w:r w:rsidR="003631E7" w:rsidRPr="00140FF1">
        <w:rPr>
          <w:color w:val="000000"/>
        </w:rPr>
        <w:t xml:space="preserve"> наличи</w:t>
      </w:r>
      <w:r w:rsidR="003631E7">
        <w:rPr>
          <w:color w:val="000000"/>
        </w:rPr>
        <w:t>е</w:t>
      </w:r>
      <w:r w:rsidR="003631E7" w:rsidRPr="00140FF1">
        <w:rPr>
          <w:color w:val="000000"/>
        </w:rPr>
        <w:t xml:space="preserve"> </w:t>
      </w:r>
      <w:r w:rsidRPr="00140FF1">
        <w:rPr>
          <w:color w:val="000000"/>
        </w:rPr>
        <w:t>высокопроизводительн</w:t>
      </w:r>
      <w:r w:rsidR="00667A6D">
        <w:rPr>
          <w:color w:val="000000"/>
        </w:rPr>
        <w:t xml:space="preserve">ых </w:t>
      </w:r>
      <w:r w:rsidR="003631E7">
        <w:rPr>
          <w:color w:val="000000"/>
        </w:rPr>
        <w:t xml:space="preserve">вычислительных </w:t>
      </w:r>
      <w:r w:rsidR="00667A6D">
        <w:rPr>
          <w:color w:val="000000"/>
        </w:rPr>
        <w:t xml:space="preserve">методов </w:t>
      </w:r>
      <w:r w:rsidRPr="00140FF1">
        <w:rPr>
          <w:color w:val="000000"/>
        </w:rPr>
        <w:t xml:space="preserve">– машинного обучения. </w:t>
      </w:r>
      <w:r w:rsidR="00667A6D">
        <w:rPr>
          <w:color w:val="000000"/>
        </w:rPr>
        <w:t>Целью работы является</w:t>
      </w:r>
      <w:r w:rsidRPr="00140FF1">
        <w:rPr>
          <w:color w:val="000000"/>
        </w:rPr>
        <w:t xml:space="preserve"> </w:t>
      </w:r>
      <w:r w:rsidR="00667A6D">
        <w:rPr>
          <w:color w:val="000000"/>
        </w:rPr>
        <w:t xml:space="preserve">создание </w:t>
      </w:r>
      <w:r w:rsidR="003631E7">
        <w:rPr>
          <w:color w:val="000000"/>
        </w:rPr>
        <w:t xml:space="preserve">курируемой, расчетной </w:t>
      </w:r>
      <w:r w:rsidRPr="00140FF1">
        <w:rPr>
          <w:color w:val="000000"/>
        </w:rPr>
        <w:t xml:space="preserve">базы данных кристаллических структур </w:t>
      </w:r>
      <w:r w:rsidR="00667A6D" w:rsidRPr="00667A6D">
        <w:rPr>
          <w:color w:val="000000"/>
        </w:rPr>
        <w:t>2</w:t>
      </w:r>
      <w:r w:rsidR="00667A6D">
        <w:rPr>
          <w:color w:val="000000"/>
          <w:lang w:val="en-US"/>
        </w:rPr>
        <w:t>D</w:t>
      </w:r>
      <w:r w:rsidRPr="00140FF1">
        <w:rPr>
          <w:color w:val="000000"/>
        </w:rPr>
        <w:t xml:space="preserve"> перовскито</w:t>
      </w:r>
      <w:r w:rsidR="00667A6D">
        <w:rPr>
          <w:color w:val="000000"/>
        </w:rPr>
        <w:t>подобных материалов</w:t>
      </w:r>
      <w:r w:rsidRPr="00140FF1">
        <w:rPr>
          <w:color w:val="000000"/>
        </w:rPr>
        <w:t xml:space="preserve"> и обучение </w:t>
      </w:r>
      <w:r w:rsidR="00667A6D">
        <w:rPr>
          <w:color w:val="000000"/>
        </w:rPr>
        <w:t xml:space="preserve">существующих </w:t>
      </w:r>
      <w:r w:rsidRPr="00140FF1">
        <w:rPr>
          <w:color w:val="000000"/>
        </w:rPr>
        <w:t>модел</w:t>
      </w:r>
      <w:r w:rsidR="00667A6D">
        <w:rPr>
          <w:color w:val="000000"/>
        </w:rPr>
        <w:t>ей</w:t>
      </w:r>
      <w:r w:rsidRPr="00140FF1">
        <w:rPr>
          <w:color w:val="000000"/>
        </w:rPr>
        <w:t xml:space="preserve"> глубокого обучения для прогнозирования их свойств.</w:t>
      </w:r>
    </w:p>
    <w:p w14:paraId="73C71E36" w14:textId="6EAD86F7" w:rsidR="00667A6D" w:rsidRPr="003631E7" w:rsidRDefault="00667A6D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67A6D">
        <w:rPr>
          <w:color w:val="000000"/>
        </w:rPr>
        <w:t xml:space="preserve">Экспериментальные кристаллические структуры были собраны из литературных источников. </w:t>
      </w:r>
      <w:r>
        <w:rPr>
          <w:color w:val="000000"/>
        </w:rPr>
        <w:t>Б</w:t>
      </w:r>
      <w:r w:rsidRPr="00667A6D">
        <w:rPr>
          <w:color w:val="000000"/>
        </w:rPr>
        <w:t xml:space="preserve">аза данных содержит 509 структур, из которых 189 имеют экспериментальное значение ширины запрещенной зоны. </w:t>
      </w:r>
      <w:r w:rsidR="003631E7">
        <w:rPr>
          <w:color w:val="000000"/>
        </w:rPr>
        <w:t>Кристаллическая</w:t>
      </w:r>
      <w:r w:rsidR="003631E7" w:rsidRPr="00667A6D">
        <w:rPr>
          <w:color w:val="000000"/>
        </w:rPr>
        <w:t xml:space="preserve"> структур</w:t>
      </w:r>
      <w:r w:rsidR="003631E7">
        <w:rPr>
          <w:color w:val="000000"/>
        </w:rPr>
        <w:t>а</w:t>
      </w:r>
      <w:r w:rsidR="003631E7" w:rsidRPr="00667A6D">
        <w:rPr>
          <w:color w:val="000000"/>
        </w:rPr>
        <w:t xml:space="preserve"> был</w:t>
      </w:r>
      <w:r w:rsidR="003631E7">
        <w:rPr>
          <w:color w:val="000000"/>
        </w:rPr>
        <w:t>а</w:t>
      </w:r>
      <w:r w:rsidR="003631E7" w:rsidRPr="00667A6D">
        <w:rPr>
          <w:color w:val="000000"/>
        </w:rPr>
        <w:t xml:space="preserve"> оптимизирован</w:t>
      </w:r>
      <w:r w:rsidR="003631E7">
        <w:rPr>
          <w:color w:val="000000"/>
        </w:rPr>
        <w:t>а</w:t>
      </w:r>
      <w:r w:rsidR="003631E7" w:rsidRPr="00667A6D">
        <w:rPr>
          <w:color w:val="000000"/>
        </w:rPr>
        <w:t xml:space="preserve"> </w:t>
      </w:r>
      <w:r w:rsidRPr="00667A6D">
        <w:rPr>
          <w:color w:val="000000"/>
        </w:rPr>
        <w:t>на теоретическом уровне GGA</w:t>
      </w:r>
      <w:r w:rsidR="00754457" w:rsidRPr="00754457">
        <w:rPr>
          <w:color w:val="000000"/>
        </w:rPr>
        <w:t>–</w:t>
      </w:r>
      <w:r w:rsidRPr="00667A6D">
        <w:rPr>
          <w:color w:val="000000"/>
        </w:rPr>
        <w:t xml:space="preserve">DFT; также была рассчитана </w:t>
      </w:r>
      <w:r w:rsidR="002410E8">
        <w:rPr>
          <w:color w:val="000000"/>
        </w:rPr>
        <w:t>зонная</w:t>
      </w:r>
      <w:r w:rsidRPr="00667A6D">
        <w:rPr>
          <w:color w:val="000000"/>
        </w:rPr>
        <w:t xml:space="preserve"> структура оптимизированных структур. Результаты расчетов DFT были использованы в качестве источника данных для обучения серии моделей глубокого обучения, </w:t>
      </w:r>
      <w:r w:rsidR="003631E7">
        <w:rPr>
          <w:color w:val="000000"/>
        </w:rPr>
        <w:t>предназначенных для прогнозирования</w:t>
      </w:r>
      <w:r w:rsidRPr="00667A6D">
        <w:rPr>
          <w:color w:val="000000"/>
        </w:rPr>
        <w:t xml:space="preserve"> </w:t>
      </w:r>
      <w:r w:rsidR="003631E7" w:rsidRPr="00667A6D">
        <w:rPr>
          <w:color w:val="000000"/>
        </w:rPr>
        <w:t>важны</w:t>
      </w:r>
      <w:r w:rsidR="003631E7">
        <w:rPr>
          <w:color w:val="000000"/>
        </w:rPr>
        <w:t>х</w:t>
      </w:r>
      <w:r w:rsidR="003631E7" w:rsidRPr="00667A6D">
        <w:rPr>
          <w:color w:val="000000"/>
        </w:rPr>
        <w:t xml:space="preserve"> термодинамически</w:t>
      </w:r>
      <w:r w:rsidR="003631E7">
        <w:rPr>
          <w:color w:val="000000"/>
        </w:rPr>
        <w:t>х</w:t>
      </w:r>
      <w:r w:rsidR="003631E7" w:rsidRPr="00667A6D">
        <w:rPr>
          <w:color w:val="000000"/>
        </w:rPr>
        <w:t xml:space="preserve"> </w:t>
      </w:r>
      <w:r w:rsidRPr="00667A6D">
        <w:rPr>
          <w:color w:val="000000"/>
        </w:rPr>
        <w:t xml:space="preserve">и </w:t>
      </w:r>
      <w:r w:rsidR="003631E7" w:rsidRPr="00667A6D">
        <w:rPr>
          <w:color w:val="000000"/>
        </w:rPr>
        <w:t>электронны</w:t>
      </w:r>
      <w:r w:rsidR="003631E7">
        <w:rPr>
          <w:color w:val="000000"/>
        </w:rPr>
        <w:t>х</w:t>
      </w:r>
      <w:r w:rsidR="003631E7" w:rsidRPr="00667A6D">
        <w:rPr>
          <w:color w:val="000000"/>
        </w:rPr>
        <w:t xml:space="preserve"> </w:t>
      </w:r>
      <w:r w:rsidRPr="00667A6D">
        <w:rPr>
          <w:color w:val="000000"/>
        </w:rPr>
        <w:t>свойств, включая энергию образования, энергию над выпуклой оболочкой, ширину запрещенной зоны и эффективные массы носителей заряда.</w:t>
      </w:r>
    </w:p>
    <w:p w14:paraId="189C7C44" w14:textId="26EB6D36" w:rsidR="00667A6D" w:rsidRPr="00667A6D" w:rsidRDefault="002410E8" w:rsidP="00667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прогнозирования экспериментальных и рассчитанных методом </w:t>
      </w:r>
      <w:r>
        <w:rPr>
          <w:color w:val="000000"/>
          <w:lang w:val="en-US"/>
        </w:rPr>
        <w:t>DFT</w:t>
      </w:r>
      <w:r w:rsidRPr="002410E8">
        <w:rPr>
          <w:color w:val="000000"/>
        </w:rPr>
        <w:t xml:space="preserve"> </w:t>
      </w:r>
      <w:r>
        <w:rPr>
          <w:color w:val="000000"/>
        </w:rPr>
        <w:t xml:space="preserve">свойств материалов использовались </w:t>
      </w:r>
      <w:r w:rsidR="00667A6D" w:rsidRPr="00667A6D">
        <w:rPr>
          <w:color w:val="000000"/>
        </w:rPr>
        <w:t>нейронны</w:t>
      </w:r>
      <w:r>
        <w:rPr>
          <w:color w:val="000000"/>
        </w:rPr>
        <w:t>е</w:t>
      </w:r>
      <w:r w:rsidR="00667A6D" w:rsidRPr="00667A6D">
        <w:rPr>
          <w:color w:val="000000"/>
        </w:rPr>
        <w:t xml:space="preserve"> сет</w:t>
      </w:r>
      <w:r>
        <w:rPr>
          <w:color w:val="000000"/>
        </w:rPr>
        <w:t>и</w:t>
      </w:r>
      <w:r w:rsidR="00667A6D" w:rsidRPr="00667A6D">
        <w:rPr>
          <w:color w:val="000000"/>
        </w:rPr>
        <w:t xml:space="preserve"> </w:t>
      </w:r>
      <w:r>
        <w:rPr>
          <w:color w:val="000000"/>
        </w:rPr>
        <w:t xml:space="preserve">на кристаллическом графе. </w:t>
      </w:r>
      <w:r w:rsidR="00667A6D" w:rsidRPr="00667A6D">
        <w:rPr>
          <w:color w:val="000000"/>
        </w:rPr>
        <w:t>Был обучен ряд моделей (CGCNN, MEGNet, deeperGATGNN, ALIGNN, MATFormer</w:t>
      </w:r>
      <w:r>
        <w:rPr>
          <w:color w:val="000000"/>
        </w:rPr>
        <w:t>,</w:t>
      </w:r>
      <w:r w:rsidR="00667A6D" w:rsidRPr="00667A6D">
        <w:rPr>
          <w:color w:val="000000"/>
        </w:rPr>
        <w:t xml:space="preserve"> coGN</w:t>
      </w:r>
      <w:r>
        <w:rPr>
          <w:color w:val="000000"/>
        </w:rPr>
        <w:t xml:space="preserve"> и </w:t>
      </w:r>
      <w:proofErr w:type="spellStart"/>
      <w:r>
        <w:rPr>
          <w:color w:val="000000"/>
          <w:lang w:val="en-US"/>
        </w:rPr>
        <w:t>CartNet</w:t>
      </w:r>
      <w:proofErr w:type="spellEnd"/>
      <w:r w:rsidR="00667A6D" w:rsidRPr="00667A6D">
        <w:rPr>
          <w:color w:val="000000"/>
        </w:rPr>
        <w:t xml:space="preserve">), которые отличаются количеством обучаемых параметров, подходом к построению </w:t>
      </w:r>
      <w:r>
        <w:rPr>
          <w:color w:val="000000"/>
        </w:rPr>
        <w:t xml:space="preserve">кристаллического </w:t>
      </w:r>
      <w:r w:rsidR="00667A6D" w:rsidRPr="00667A6D">
        <w:rPr>
          <w:color w:val="000000"/>
        </w:rPr>
        <w:t>граф</w:t>
      </w:r>
      <w:r>
        <w:rPr>
          <w:color w:val="000000"/>
        </w:rPr>
        <w:t>а и набором учитываемых геометрических признаков</w:t>
      </w:r>
      <w:r w:rsidR="00667A6D" w:rsidRPr="00667A6D">
        <w:rPr>
          <w:color w:val="000000"/>
        </w:rPr>
        <w:t>.</w:t>
      </w:r>
    </w:p>
    <w:p w14:paraId="2962CB61" w14:textId="306CF80D" w:rsidR="00667A6D" w:rsidRPr="00754457" w:rsidRDefault="00667A6D" w:rsidP="00667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67A6D">
        <w:rPr>
          <w:color w:val="000000"/>
        </w:rPr>
        <w:t xml:space="preserve">Модели были обучены с использованием метода </w:t>
      </w:r>
      <w:r w:rsidR="003631E7">
        <w:rPr>
          <w:color w:val="000000"/>
        </w:rPr>
        <w:t>кросс-валидации для корректной оценки</w:t>
      </w:r>
      <w:r w:rsidRPr="00667A6D">
        <w:rPr>
          <w:color w:val="000000"/>
        </w:rPr>
        <w:t xml:space="preserve"> </w:t>
      </w:r>
      <w:r w:rsidR="003631E7">
        <w:rPr>
          <w:color w:val="000000"/>
        </w:rPr>
        <w:t>обобщающей способности</w:t>
      </w:r>
      <w:r w:rsidR="003631E7" w:rsidRPr="00667A6D">
        <w:rPr>
          <w:color w:val="000000"/>
        </w:rPr>
        <w:t xml:space="preserve"> </w:t>
      </w:r>
      <w:r w:rsidRPr="00667A6D">
        <w:rPr>
          <w:color w:val="000000"/>
        </w:rPr>
        <w:t xml:space="preserve">путем последовательного тестирования на всем доступном наборе данных. </w:t>
      </w:r>
      <w:r w:rsidR="002410E8">
        <w:rPr>
          <w:color w:val="000000"/>
        </w:rPr>
        <w:t xml:space="preserve">Эффективность предсказаний </w:t>
      </w:r>
      <w:r w:rsidRPr="00667A6D">
        <w:rPr>
          <w:color w:val="000000"/>
        </w:rPr>
        <w:t xml:space="preserve">моделей была оценена </w:t>
      </w:r>
      <w:r w:rsidR="002410E8">
        <w:rPr>
          <w:color w:val="000000"/>
        </w:rPr>
        <w:t xml:space="preserve">для различных </w:t>
      </w:r>
      <w:r w:rsidR="00D375AC">
        <w:rPr>
          <w:color w:val="000000"/>
        </w:rPr>
        <w:t xml:space="preserve">свойств веществ </w:t>
      </w:r>
      <w:r w:rsidRPr="00667A6D">
        <w:rPr>
          <w:color w:val="000000"/>
        </w:rPr>
        <w:t xml:space="preserve">(ширина запрещенной зоны, энергия образования и т.д.). </w:t>
      </w:r>
      <w:r w:rsidR="00D375AC">
        <w:rPr>
          <w:color w:val="000000"/>
        </w:rPr>
        <w:t>Н</w:t>
      </w:r>
      <w:r w:rsidRPr="00667A6D">
        <w:rPr>
          <w:color w:val="000000"/>
        </w:rPr>
        <w:t>аи</w:t>
      </w:r>
      <w:r w:rsidR="00D375AC">
        <w:rPr>
          <w:color w:val="000000"/>
        </w:rPr>
        <w:t>меньшие</w:t>
      </w:r>
      <w:r w:rsidRPr="00667A6D">
        <w:rPr>
          <w:color w:val="000000"/>
        </w:rPr>
        <w:t xml:space="preserve"> </w:t>
      </w:r>
      <w:r w:rsidR="00D375AC">
        <w:rPr>
          <w:color w:val="000000"/>
        </w:rPr>
        <w:t xml:space="preserve">значения </w:t>
      </w:r>
      <w:r w:rsidRPr="00667A6D">
        <w:rPr>
          <w:color w:val="000000"/>
        </w:rPr>
        <w:t>средней абсолютной ошибки</w:t>
      </w:r>
      <w:r w:rsidR="00D375AC">
        <w:rPr>
          <w:color w:val="000000"/>
        </w:rPr>
        <w:t xml:space="preserve"> </w:t>
      </w:r>
      <w:r w:rsidR="00754457">
        <w:rPr>
          <w:color w:val="000000"/>
        </w:rPr>
        <w:t xml:space="preserve">предсказаний </w:t>
      </w:r>
      <w:r w:rsidR="00D375AC">
        <w:rPr>
          <w:color w:val="000000"/>
        </w:rPr>
        <w:t xml:space="preserve">для ширины запрещенной зоны показали модели </w:t>
      </w:r>
      <w:proofErr w:type="spellStart"/>
      <w:r w:rsidR="00D375AC">
        <w:rPr>
          <w:color w:val="000000"/>
          <w:lang w:val="en-US"/>
        </w:rPr>
        <w:t>MEGNet</w:t>
      </w:r>
      <w:proofErr w:type="spellEnd"/>
      <w:r w:rsidR="00D375AC" w:rsidRPr="00D375AC">
        <w:rPr>
          <w:color w:val="000000"/>
        </w:rPr>
        <w:t xml:space="preserve"> </w:t>
      </w:r>
      <w:r w:rsidR="00D375AC">
        <w:rPr>
          <w:color w:val="000000"/>
        </w:rPr>
        <w:t xml:space="preserve">и </w:t>
      </w:r>
      <w:r w:rsidR="00D375AC">
        <w:rPr>
          <w:color w:val="000000"/>
          <w:lang w:val="en-US"/>
        </w:rPr>
        <w:t>ALIGNN</w:t>
      </w:r>
      <w:r w:rsidR="00FF7F8A">
        <w:rPr>
          <w:color w:val="000000"/>
        </w:rPr>
        <w:t xml:space="preserve"> </w:t>
      </w:r>
      <w:r w:rsidR="00754457" w:rsidRPr="00754457">
        <w:rPr>
          <w:color w:val="000000"/>
        </w:rPr>
        <w:t>–</w:t>
      </w:r>
      <w:r w:rsidR="00754457">
        <w:rPr>
          <w:color w:val="000000"/>
        </w:rPr>
        <w:t xml:space="preserve"> 0.23 и 0.25 эВ для расчетных и экспериментальных значений</w:t>
      </w:r>
      <w:r w:rsidR="00754457" w:rsidRPr="00754457">
        <w:rPr>
          <w:color w:val="000000"/>
        </w:rPr>
        <w:t xml:space="preserve">; </w:t>
      </w:r>
      <w:r w:rsidR="00754457">
        <w:rPr>
          <w:color w:val="000000"/>
        </w:rPr>
        <w:t xml:space="preserve">для энергии образования и энергии над выпуклой оболочкой лучшими оказались модели </w:t>
      </w:r>
      <w:proofErr w:type="spellStart"/>
      <w:r w:rsidR="00754457">
        <w:rPr>
          <w:color w:val="000000"/>
          <w:lang w:val="en-US"/>
        </w:rPr>
        <w:t>CartNet</w:t>
      </w:r>
      <w:proofErr w:type="spellEnd"/>
      <w:r w:rsidR="00754457" w:rsidRPr="00754457">
        <w:rPr>
          <w:color w:val="000000"/>
        </w:rPr>
        <w:t xml:space="preserve"> </w:t>
      </w:r>
      <w:r w:rsidR="00754457">
        <w:rPr>
          <w:color w:val="000000"/>
        </w:rPr>
        <w:t xml:space="preserve">и </w:t>
      </w:r>
      <w:proofErr w:type="spellStart"/>
      <w:r w:rsidR="00754457">
        <w:rPr>
          <w:color w:val="000000"/>
          <w:lang w:val="en-US"/>
        </w:rPr>
        <w:t>coGN</w:t>
      </w:r>
      <w:proofErr w:type="spellEnd"/>
      <w:r w:rsidR="00FF1614">
        <w:rPr>
          <w:color w:val="000000"/>
        </w:rPr>
        <w:t xml:space="preserve"> </w:t>
      </w:r>
      <w:r w:rsidR="00754457" w:rsidRPr="00754457">
        <w:rPr>
          <w:color w:val="000000"/>
        </w:rPr>
        <w:t xml:space="preserve">– 8.4 </w:t>
      </w:r>
      <w:r w:rsidR="00754457">
        <w:rPr>
          <w:color w:val="000000"/>
        </w:rPr>
        <w:t xml:space="preserve">и </w:t>
      </w:r>
      <w:r w:rsidR="00754457" w:rsidRPr="00754457">
        <w:rPr>
          <w:color w:val="000000"/>
        </w:rPr>
        <w:t xml:space="preserve">9.6 </w:t>
      </w:r>
      <w:r w:rsidR="00754457">
        <w:rPr>
          <w:color w:val="000000"/>
        </w:rPr>
        <w:t>мэВ</w:t>
      </w:r>
      <w:r w:rsidR="00754457" w:rsidRPr="00754457">
        <w:rPr>
          <w:color w:val="000000"/>
        </w:rPr>
        <w:t>/</w:t>
      </w:r>
      <w:r w:rsidR="00754457">
        <w:rPr>
          <w:color w:val="000000"/>
        </w:rPr>
        <w:t>атом</w:t>
      </w:r>
      <w:r w:rsidR="003631E7">
        <w:rPr>
          <w:color w:val="000000"/>
        </w:rPr>
        <w:t>,</w:t>
      </w:r>
      <w:r w:rsidR="00754457">
        <w:rPr>
          <w:color w:val="000000"/>
        </w:rPr>
        <w:t xml:space="preserve"> соответственно.</w:t>
      </w:r>
    </w:p>
    <w:p w14:paraId="624ECB4D" w14:textId="4AFAE5D3" w:rsidR="00E94D60" w:rsidRPr="00A74F44" w:rsidRDefault="00E94D60" w:rsidP="00E94D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</w:p>
    <w:sectPr w:rsidR="00E94D60" w:rsidRPr="00A74F4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1060">
    <w:abstractNumId w:val="2"/>
  </w:num>
  <w:num w:numId="2" w16cid:durableId="1595897014">
    <w:abstractNumId w:val="3"/>
  </w:num>
  <w:num w:numId="3" w16cid:durableId="609582394">
    <w:abstractNumId w:val="1"/>
  </w:num>
  <w:num w:numId="4" w16cid:durableId="56125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5434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0FF1"/>
    <w:rsid w:val="001E61C2"/>
    <w:rsid w:val="001F0493"/>
    <w:rsid w:val="0022260A"/>
    <w:rsid w:val="002264EE"/>
    <w:rsid w:val="0023307C"/>
    <w:rsid w:val="002410E8"/>
    <w:rsid w:val="0031361E"/>
    <w:rsid w:val="003631E7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D7B79"/>
    <w:rsid w:val="005E5BE9"/>
    <w:rsid w:val="00667A6D"/>
    <w:rsid w:val="0069427D"/>
    <w:rsid w:val="00695CEF"/>
    <w:rsid w:val="006F7A19"/>
    <w:rsid w:val="007213E1"/>
    <w:rsid w:val="00754457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4F44"/>
    <w:rsid w:val="00AD7380"/>
    <w:rsid w:val="00BF36F8"/>
    <w:rsid w:val="00BF4622"/>
    <w:rsid w:val="00C42926"/>
    <w:rsid w:val="00C844E2"/>
    <w:rsid w:val="00CD00B1"/>
    <w:rsid w:val="00CD75D4"/>
    <w:rsid w:val="00D22306"/>
    <w:rsid w:val="00D375AC"/>
    <w:rsid w:val="00D42542"/>
    <w:rsid w:val="00D8121C"/>
    <w:rsid w:val="00E22189"/>
    <w:rsid w:val="00E74069"/>
    <w:rsid w:val="00E81D35"/>
    <w:rsid w:val="00E94D60"/>
    <w:rsid w:val="00EB1F49"/>
    <w:rsid w:val="00F458C4"/>
    <w:rsid w:val="00F865B3"/>
    <w:rsid w:val="00FB1509"/>
    <w:rsid w:val="00FF1614"/>
    <w:rsid w:val="00FF1903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.dudakov@iai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3126194-F8E2-4A17-8CDD-6151926BE3FC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Дудаков</cp:lastModifiedBy>
  <cp:revision>9</cp:revision>
  <dcterms:created xsi:type="dcterms:W3CDTF">2024-12-16T00:35:00Z</dcterms:created>
  <dcterms:modified xsi:type="dcterms:W3CDTF">2025-03-07T20:52:00Z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