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381449F" w:rsidR="00130241" w:rsidRDefault="00B635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гребнеобразных полиэлектролитов и их каталитическая активность в реакции Сузуки </w:t>
      </w:r>
    </w:p>
    <w:p w14:paraId="00000002" w14:textId="3BEE8E36" w:rsidR="00130241" w:rsidRDefault="00B84A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Зефирова П.М.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Фетин П.</w:t>
      </w:r>
      <w:r w:rsidR="006C1B79">
        <w:rPr>
          <w:b/>
          <w:i/>
          <w:color w:val="000000"/>
        </w:rPr>
        <w:t>А</w:t>
      </w:r>
      <w:r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14:paraId="00000003" w14:textId="1E4AB3A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B84A00">
        <w:rPr>
          <w:i/>
          <w:color w:val="000000"/>
        </w:rPr>
        <w:t>ка</w:t>
      </w:r>
      <w:r>
        <w:rPr>
          <w:i/>
          <w:color w:val="000000"/>
        </w:rPr>
        <w:t xml:space="preserve"> </w:t>
      </w:r>
      <w:r w:rsidR="00B84A00">
        <w:rPr>
          <w:i/>
          <w:color w:val="000000"/>
        </w:rPr>
        <w:t>1</w:t>
      </w:r>
      <w:r>
        <w:rPr>
          <w:i/>
          <w:color w:val="000000"/>
        </w:rPr>
        <w:t xml:space="preserve"> курс</w:t>
      </w:r>
      <w:r w:rsidR="00B84A00">
        <w:rPr>
          <w:i/>
          <w:color w:val="000000"/>
        </w:rPr>
        <w:t>а</w:t>
      </w:r>
      <w:r>
        <w:rPr>
          <w:i/>
          <w:color w:val="000000"/>
        </w:rPr>
        <w:t xml:space="preserve"> </w:t>
      </w:r>
      <w:r w:rsidR="00B84A00">
        <w:rPr>
          <w:i/>
          <w:color w:val="000000"/>
        </w:rPr>
        <w:t>магистратуры</w:t>
      </w:r>
    </w:p>
    <w:p w14:paraId="3C53A72E" w14:textId="3779A7F5" w:rsidR="00AD7380" w:rsidRPr="00C745A5" w:rsidRDefault="00B84A00" w:rsidP="00B37E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</w:t>
      </w:r>
      <w:r w:rsidR="00EB1F49">
        <w:rPr>
          <w:i/>
          <w:color w:val="000000"/>
        </w:rPr>
        <w:t>й университет,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25693B4A" w:rsidR="00130241" w:rsidRPr="00B37E1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84A00">
        <w:rPr>
          <w:i/>
          <w:color w:val="000000"/>
          <w:lang w:val="en-US"/>
        </w:rPr>
        <w:t>E</w:t>
      </w:r>
      <w:r w:rsidR="003B76D6" w:rsidRPr="00B37E14">
        <w:rPr>
          <w:i/>
          <w:color w:val="000000"/>
          <w:lang w:val="en-US"/>
        </w:rPr>
        <w:t>-</w:t>
      </w:r>
      <w:r w:rsidRPr="00B84A00">
        <w:rPr>
          <w:i/>
          <w:color w:val="000000"/>
          <w:lang w:val="en-US"/>
        </w:rPr>
        <w:t>mail</w:t>
      </w:r>
      <w:r w:rsidRPr="00B37E14">
        <w:rPr>
          <w:i/>
          <w:color w:val="000000"/>
          <w:lang w:val="en-US"/>
        </w:rPr>
        <w:t xml:space="preserve">: </w:t>
      </w:r>
      <w:hyperlink r:id="rId6" w:history="1">
        <w:r w:rsidR="00B84A00" w:rsidRPr="00B84A00">
          <w:rPr>
            <w:rStyle w:val="a9"/>
            <w:i/>
            <w:color w:val="000000" w:themeColor="text1"/>
            <w:lang w:val="en-US"/>
          </w:rPr>
          <w:t>zef</w:t>
        </w:r>
        <w:r w:rsidR="00B84A00" w:rsidRPr="00B37E14">
          <w:rPr>
            <w:rStyle w:val="a9"/>
            <w:i/>
            <w:color w:val="000000" w:themeColor="text1"/>
            <w:lang w:val="en-US"/>
          </w:rPr>
          <w:t>.</w:t>
        </w:r>
        <w:r w:rsidR="00B84A00" w:rsidRPr="00B84A00">
          <w:rPr>
            <w:rStyle w:val="a9"/>
            <w:i/>
            <w:color w:val="000000" w:themeColor="text1"/>
            <w:lang w:val="en-US"/>
          </w:rPr>
          <w:t>p</w:t>
        </w:r>
        <w:r w:rsidR="00B84A00" w:rsidRPr="00B37E14">
          <w:rPr>
            <w:rStyle w:val="a9"/>
            <w:i/>
            <w:color w:val="000000" w:themeColor="text1"/>
            <w:lang w:val="en-US"/>
          </w:rPr>
          <w:t>.</w:t>
        </w:r>
        <w:r w:rsidR="00B84A00" w:rsidRPr="00B84A00">
          <w:rPr>
            <w:rStyle w:val="a9"/>
            <w:i/>
            <w:color w:val="000000" w:themeColor="text1"/>
            <w:lang w:val="en-US"/>
          </w:rPr>
          <w:t>m</w:t>
        </w:r>
        <w:r w:rsidR="00B84A00" w:rsidRPr="00B37E14">
          <w:rPr>
            <w:rStyle w:val="a9"/>
            <w:i/>
            <w:color w:val="000000" w:themeColor="text1"/>
            <w:lang w:val="en-US"/>
          </w:rPr>
          <w:t>002@</w:t>
        </w:r>
        <w:r w:rsidR="00B84A00" w:rsidRPr="00B84A00">
          <w:rPr>
            <w:rStyle w:val="a9"/>
            <w:i/>
            <w:color w:val="000000" w:themeColor="text1"/>
            <w:lang w:val="en-US"/>
          </w:rPr>
          <w:t>gmail</w:t>
        </w:r>
        <w:r w:rsidR="00B84A00" w:rsidRPr="00B37E14">
          <w:rPr>
            <w:rStyle w:val="a9"/>
            <w:i/>
            <w:color w:val="000000" w:themeColor="text1"/>
            <w:lang w:val="en-US"/>
          </w:rPr>
          <w:t>.</w:t>
        </w:r>
        <w:r w:rsidR="00B84A00" w:rsidRPr="00B84A00">
          <w:rPr>
            <w:rStyle w:val="a9"/>
            <w:i/>
            <w:color w:val="000000" w:themeColor="text1"/>
            <w:lang w:val="en-US"/>
          </w:rPr>
          <w:t>com</w:t>
        </w:r>
      </w:hyperlink>
      <w:r w:rsidR="00B84A00" w:rsidRPr="00B37E14">
        <w:rPr>
          <w:i/>
          <w:color w:val="000000" w:themeColor="text1"/>
          <w:lang w:val="en-US"/>
        </w:rPr>
        <w:t xml:space="preserve"> </w:t>
      </w:r>
    </w:p>
    <w:p w14:paraId="17A8DD85" w14:textId="77777777" w:rsidR="00C745A5" w:rsidRDefault="00C745A5" w:rsidP="00C745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современной химии большое внимание уделяется разработке подходов, позволяющих снизить использование токсичных реагентов и растворителей в процессе синтеза. В случае последних, способом решения проблемы является применение мицеллярных каталитических систем</w:t>
      </w:r>
      <w:r w:rsidRPr="004978D1">
        <w:rPr>
          <w:color w:val="000000"/>
        </w:rPr>
        <w:t xml:space="preserve"> </w:t>
      </w:r>
      <w:r>
        <w:rPr>
          <w:color w:val="000000"/>
        </w:rPr>
        <w:t>на основе поверхностно-активных веществ (ПАВ), позволяющих проводить органические реакции, например, конструктивные, в водной среде. Каталитический эффект при использовании таких систем достигается путем локального концентрирования субстрата в мицеллах, а также связывания истинного катализатора с их поверхностью за счет ионных и других видов взаимодействий.</w:t>
      </w:r>
    </w:p>
    <w:p w14:paraId="4446FE46" w14:textId="77777777" w:rsidR="00C745A5" w:rsidRDefault="00C745A5" w:rsidP="00C745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качестве эффективных мицеллообразующих агентов зарекомендовали себя гребнеобразные полиэлектролиты </w:t>
      </w:r>
      <w:r w:rsidRPr="004978D1">
        <w:rPr>
          <w:color w:val="000000"/>
        </w:rPr>
        <w:t xml:space="preserve">[1]. </w:t>
      </w:r>
      <w:r>
        <w:rPr>
          <w:color w:val="000000"/>
        </w:rPr>
        <w:t>К их преимуществам относятся низкая критическая концентрация мицеллообразования, высокая солюбилизационная емкость, а также возможность многократного использования. Таким образом, целью настоящей работы является синтез серии новых гребнеобразных полиэлектролитов и характеризация их каталитической активности в конструктивной реакции Сузуки.</w:t>
      </w:r>
    </w:p>
    <w:p w14:paraId="72959DCA" w14:textId="77777777" w:rsidR="00C745A5" w:rsidRDefault="00C745A5" w:rsidP="00C745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Схема синтеза мономеров представлена на рисунке 1. Полимеризацию проводили при использовании воды в качестве растворителя. Реальную концентрацию звеньев полимера, содержащих пиридиновый фрагмент, определяли методом УФ спектроскопии. В качестве модельной реакции Сузуки рассматривали взаимодействие фенилбороновой кислоты с 1-бромо-4-нитробензолом в воде, истинным катализатором выступал </w:t>
      </w:r>
      <w:r>
        <w:rPr>
          <w:color w:val="000000"/>
          <w:lang w:val="en-US"/>
        </w:rPr>
        <w:t>PdCl</w:t>
      </w:r>
      <w:r w:rsidRPr="00BA6B0A">
        <w:rPr>
          <w:color w:val="000000"/>
          <w:vertAlign w:val="subscript"/>
        </w:rPr>
        <w:t>2</w:t>
      </w:r>
      <w:r w:rsidRPr="00BA6B0A">
        <w:rPr>
          <w:color w:val="000000"/>
        </w:rPr>
        <w:t xml:space="preserve">. </w:t>
      </w:r>
      <w:r>
        <w:rPr>
          <w:color w:val="000000"/>
        </w:rPr>
        <w:t xml:space="preserve">Для определения конверсии функциональных групп использовали метод 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Н ЯМР спектроскопии. </w:t>
      </w:r>
    </w:p>
    <w:p w14:paraId="70D350D5" w14:textId="77777777" w:rsidR="00C745A5" w:rsidRDefault="00C745A5" w:rsidP="00C745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0C3852">
        <w:rPr>
          <w:noProof/>
        </w:rPr>
        <w:drawing>
          <wp:inline distT="0" distB="0" distL="0" distR="0" wp14:anchorId="68EF4750" wp14:editId="3E8FA473">
            <wp:extent cx="4694967" cy="20991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6730" cy="210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C86F2" w14:textId="157E4B35" w:rsidR="00055A01" w:rsidRPr="00BA6B0A" w:rsidRDefault="00C745A5" w:rsidP="00C745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Рисунок</w:t>
      </w:r>
      <w:r w:rsidRPr="00DE6D25">
        <w:rPr>
          <w:color w:val="000000"/>
        </w:rPr>
        <w:t xml:space="preserve"> 1. Синтез мономеров</w:t>
      </w:r>
    </w:p>
    <w:p w14:paraId="022FC08C" w14:textId="156D8D29" w:rsidR="00A02163" w:rsidRPr="0009449A" w:rsidRDefault="00DE253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финансовой поддержке </w:t>
      </w:r>
      <w:r w:rsidR="00C745A5">
        <w:rPr>
          <w:i/>
          <w:iCs/>
          <w:color w:val="000000"/>
        </w:rPr>
        <w:t>гранта Министерства науки и высшего образования Российской Федерации по крупному научному проекту по приоритетным направлениям научно-технологического развития (грант № 075-15-2024-553)</w:t>
      </w:r>
      <w:r>
        <w:rPr>
          <w:i/>
          <w:iCs/>
          <w:color w:val="000000"/>
        </w:rPr>
        <w:t>. Авторы выражают благодарность ресурсным центрам СПбГУ «Магнитно-резонансные методы исследования»</w:t>
      </w:r>
      <w:r w:rsidR="00C745A5">
        <w:rPr>
          <w:i/>
          <w:iCs/>
          <w:color w:val="000000"/>
        </w:rPr>
        <w:t>,</w:t>
      </w:r>
      <w:r>
        <w:rPr>
          <w:i/>
          <w:iCs/>
          <w:color w:val="000000"/>
        </w:rPr>
        <w:t xml:space="preserve"> </w:t>
      </w:r>
      <w:r w:rsidR="00C745A5">
        <w:rPr>
          <w:i/>
          <w:iCs/>
          <w:color w:val="000000"/>
        </w:rPr>
        <w:t xml:space="preserve">«Методы анализа состава вещества» и </w:t>
      </w:r>
      <w:r>
        <w:rPr>
          <w:i/>
          <w:iCs/>
          <w:color w:val="000000"/>
        </w:rPr>
        <w:t xml:space="preserve">«Криогенный отдел». </w:t>
      </w:r>
    </w:p>
    <w:p w14:paraId="0000000E" w14:textId="77777777" w:rsidR="00130241" w:rsidRPr="0081337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4D667828" w:rsidR="00116478" w:rsidRPr="00107AA3" w:rsidRDefault="0081337E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="00107AA3" w:rsidRPr="00E81D35">
        <w:rPr>
          <w:color w:val="000000"/>
          <w:lang w:val="en-US"/>
        </w:rPr>
        <w:t xml:space="preserve">. </w:t>
      </w:r>
      <w:r w:rsidR="00DE2536" w:rsidRPr="00DE2536">
        <w:rPr>
          <w:lang w:val="en-US"/>
        </w:rPr>
        <w:t xml:space="preserve">Fetin P.A., Fetina V.I., Kadnikov M.V., Orlova V.V., Ermolenko E.I., Lezov A.A., Zorin I.M. Comb-like polyelectrolytes with pyridinium and trimethylammonium cations: Micellar catalytic and antibacterial properties // Colloids. </w:t>
      </w:r>
      <w:r w:rsidR="00DE2536" w:rsidRPr="0081337E">
        <w:rPr>
          <w:lang w:val="en-US"/>
        </w:rPr>
        <w:t>Surf. A. Physicochem. Eng. Asp. 2024</w:t>
      </w:r>
      <w:r w:rsidRPr="0081337E">
        <w:rPr>
          <w:lang w:val="en-US"/>
        </w:rPr>
        <w:t xml:space="preserve">. </w:t>
      </w:r>
      <w:r>
        <w:rPr>
          <w:lang w:val="en-US"/>
        </w:rPr>
        <w:t>Vol.</w:t>
      </w:r>
      <w:r w:rsidR="00DE2536" w:rsidRPr="0081337E">
        <w:rPr>
          <w:lang w:val="en-US"/>
        </w:rPr>
        <w:t xml:space="preserve"> 690</w:t>
      </w:r>
      <w:r>
        <w:rPr>
          <w:lang w:val="en-US"/>
        </w:rPr>
        <w:t>. P.</w:t>
      </w:r>
      <w:r w:rsidR="00DE2536" w:rsidRPr="0081337E">
        <w:rPr>
          <w:lang w:val="en-US"/>
        </w:rPr>
        <w:t xml:space="preserve"> 133696</w:t>
      </w:r>
      <w:r w:rsidR="00116478" w:rsidRPr="00107AA3">
        <w:rPr>
          <w:noProof/>
          <w:lang w:val="en-US"/>
        </w:rPr>
        <w:t>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5A01"/>
    <w:rsid w:val="00063966"/>
    <w:rsid w:val="00075D6E"/>
    <w:rsid w:val="00086081"/>
    <w:rsid w:val="0009449A"/>
    <w:rsid w:val="00094FD0"/>
    <w:rsid w:val="000D3781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36D7B"/>
    <w:rsid w:val="002D2B63"/>
    <w:rsid w:val="0031361E"/>
    <w:rsid w:val="00391C38"/>
    <w:rsid w:val="003B76D6"/>
    <w:rsid w:val="003E2601"/>
    <w:rsid w:val="003F4E6B"/>
    <w:rsid w:val="00485F4B"/>
    <w:rsid w:val="004978D1"/>
    <w:rsid w:val="004A26A3"/>
    <w:rsid w:val="004F0EDF"/>
    <w:rsid w:val="004F2C23"/>
    <w:rsid w:val="00522BF1"/>
    <w:rsid w:val="00590166"/>
    <w:rsid w:val="005D022B"/>
    <w:rsid w:val="005E5BE9"/>
    <w:rsid w:val="0069427D"/>
    <w:rsid w:val="006C1B79"/>
    <w:rsid w:val="006F7A19"/>
    <w:rsid w:val="007213E1"/>
    <w:rsid w:val="00775389"/>
    <w:rsid w:val="00797838"/>
    <w:rsid w:val="007A5DCD"/>
    <w:rsid w:val="007C36D8"/>
    <w:rsid w:val="007F2744"/>
    <w:rsid w:val="0081337E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37E14"/>
    <w:rsid w:val="00B635F1"/>
    <w:rsid w:val="00B84A00"/>
    <w:rsid w:val="00B86A04"/>
    <w:rsid w:val="00BA6B0A"/>
    <w:rsid w:val="00BF36F8"/>
    <w:rsid w:val="00BF4622"/>
    <w:rsid w:val="00C745A5"/>
    <w:rsid w:val="00C844E2"/>
    <w:rsid w:val="00CD00B1"/>
    <w:rsid w:val="00D22306"/>
    <w:rsid w:val="00D42542"/>
    <w:rsid w:val="00D742A2"/>
    <w:rsid w:val="00D8121C"/>
    <w:rsid w:val="00DE2536"/>
    <w:rsid w:val="00E22189"/>
    <w:rsid w:val="00E74069"/>
    <w:rsid w:val="00E81D35"/>
    <w:rsid w:val="00EB1F49"/>
    <w:rsid w:val="00ED412C"/>
    <w:rsid w:val="00F032D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ef.p.m00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Зефирова Полина Михайловна</cp:lastModifiedBy>
  <cp:revision>12</cp:revision>
  <dcterms:created xsi:type="dcterms:W3CDTF">2024-12-16T00:35:00Z</dcterms:created>
  <dcterms:modified xsi:type="dcterms:W3CDTF">2025-03-01T13:05:00Z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