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CD799" w14:textId="040B22B4" w:rsidR="00F21BE8" w:rsidRDefault="007F2F3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Мицеллярные системы для </w:t>
      </w:r>
      <w:r w:rsidR="002C5A92">
        <w:rPr>
          <w:b/>
          <w:bCs/>
        </w:rPr>
        <w:t xml:space="preserve">проведения пероксиоксалатной </w:t>
      </w:r>
      <w:r>
        <w:rPr>
          <w:b/>
          <w:bCs/>
        </w:rPr>
        <w:t>хемилюминесцентно</w:t>
      </w:r>
      <w:r w:rsidR="002C5A92">
        <w:rPr>
          <w:b/>
          <w:bCs/>
        </w:rPr>
        <w:t>й</w:t>
      </w:r>
      <w:r>
        <w:rPr>
          <w:b/>
          <w:bCs/>
        </w:rPr>
        <w:t xml:space="preserve"> реакции</w:t>
      </w:r>
    </w:p>
    <w:p w14:paraId="1EA7DE87" w14:textId="459B6C44" w:rsidR="00F21BE8" w:rsidRDefault="007F2F38">
      <w:pPr>
        <w:shd w:val="clear" w:color="auto" w:fill="FFFFFF"/>
        <w:jc w:val="center"/>
      </w:pPr>
      <w:r>
        <w:rPr>
          <w:b/>
          <w:bCs/>
          <w:i/>
          <w:iCs/>
        </w:rPr>
        <w:t>Кузьмина М.С.</w:t>
      </w:r>
      <w:r w:rsidR="00CE4FEE">
        <w:rPr>
          <w:b/>
          <w:bCs/>
          <w:i/>
          <w:iCs/>
        </w:rPr>
        <w:t>, Фомин Е.О.</w:t>
      </w:r>
    </w:p>
    <w:p w14:paraId="2910B005" w14:textId="77777777" w:rsidR="00F21BE8" w:rsidRDefault="007F2F38">
      <w:pPr>
        <w:shd w:val="clear" w:color="auto" w:fill="FFFFFF"/>
        <w:jc w:val="center"/>
      </w:pPr>
      <w:r>
        <w:rPr>
          <w:i/>
          <w:iCs/>
        </w:rPr>
        <w:t>Студент, 2 курс специалитета</w:t>
      </w:r>
    </w:p>
    <w:p w14:paraId="003D7488" w14:textId="77777777" w:rsidR="00F21BE8" w:rsidRDefault="007F2F38">
      <w:pPr>
        <w:shd w:val="clear" w:color="auto" w:fill="FFFFFF"/>
        <w:jc w:val="center"/>
      </w:pPr>
      <w:r>
        <w:rPr>
          <w:i/>
          <w:iCs/>
        </w:rPr>
        <w:t>Московский государственный университет имени М.В. Ломоносова, </w:t>
      </w:r>
    </w:p>
    <w:p w14:paraId="50AC282C" w14:textId="77777777" w:rsidR="00F21BE8" w:rsidRDefault="007F2F38">
      <w:pPr>
        <w:shd w:val="clear" w:color="auto" w:fill="FFFFFF"/>
        <w:jc w:val="center"/>
      </w:pPr>
      <w:r>
        <w:rPr>
          <w:i/>
          <w:iCs/>
        </w:rPr>
        <w:t>химический факультет, Москва, Россия</w:t>
      </w:r>
    </w:p>
    <w:p w14:paraId="778E049D" w14:textId="77777777" w:rsidR="00F21BE8" w:rsidRDefault="007F2F38">
      <w:pPr>
        <w:shd w:val="clear" w:color="auto" w:fill="FFFFFF"/>
        <w:jc w:val="center"/>
      </w:pP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r>
        <w:rPr>
          <w:lang w:val="en-US"/>
        </w:rPr>
        <w:t>m</w:t>
      </w:r>
      <w:r>
        <w:t>.</w:t>
      </w:r>
      <w:r>
        <w:rPr>
          <w:lang w:val="en-US"/>
        </w:rPr>
        <w:t>kuzmina</w:t>
      </w:r>
      <w:r>
        <w:t>2005@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</w:p>
    <w:p w14:paraId="1E53E117" w14:textId="54380D71" w:rsidR="00F21BE8" w:rsidRDefault="00222A2A" w:rsidP="00C835AF">
      <w:pPr>
        <w:shd w:val="clear" w:color="auto" w:fill="FFFFFF"/>
        <w:ind w:firstLine="397"/>
        <w:jc w:val="both"/>
      </w:pPr>
      <w:r w:rsidRPr="00FA0BCB">
        <w:rPr>
          <w:color w:val="auto"/>
        </w:rPr>
        <w:t>Вследствие нарушения метаболизма</w:t>
      </w:r>
      <w:r w:rsidR="00FA0BCB" w:rsidRPr="00FA0BCB">
        <w:rPr>
          <w:color w:val="auto"/>
        </w:rPr>
        <w:t xml:space="preserve"> кислорода</w:t>
      </w:r>
      <w:r w:rsidRPr="00FA0BCB">
        <w:rPr>
          <w:color w:val="auto"/>
        </w:rPr>
        <w:t xml:space="preserve">, концентрация пероксида водорода в раковых клетках </w:t>
      </w:r>
      <w:r w:rsidR="00561FEC" w:rsidRPr="00FA0BCB">
        <w:rPr>
          <w:color w:val="auto"/>
        </w:rPr>
        <w:t xml:space="preserve">может увеличиваться </w:t>
      </w:r>
      <w:r w:rsidRPr="00FA0BCB">
        <w:rPr>
          <w:color w:val="auto"/>
        </w:rPr>
        <w:t xml:space="preserve">на 1-2 порядка </w:t>
      </w:r>
      <w:r w:rsidR="00672F84" w:rsidRPr="00FA0BCB">
        <w:rPr>
          <w:color w:val="auto"/>
        </w:rPr>
        <w:t xml:space="preserve">по сравнению с нормальными клетками. Эту особенность </w:t>
      </w:r>
      <w:r w:rsidRPr="00FA0BCB">
        <w:rPr>
          <w:color w:val="auto"/>
        </w:rPr>
        <w:t xml:space="preserve">можно </w:t>
      </w:r>
      <w:r w:rsidR="00672F84" w:rsidRPr="00FA0BCB">
        <w:rPr>
          <w:color w:val="auto"/>
        </w:rPr>
        <w:t xml:space="preserve">использовать при разработке </w:t>
      </w:r>
      <w:r w:rsidRPr="00FA0BCB">
        <w:rPr>
          <w:color w:val="auto"/>
        </w:rPr>
        <w:t>новых стратегий лечения опухолей</w:t>
      </w:r>
      <w:r w:rsidR="00672F84" w:rsidRPr="00FA0BCB">
        <w:rPr>
          <w:color w:val="auto"/>
        </w:rPr>
        <w:t>. Одним из таких активно-развивающихся подходов является хемо-индуцированная фотодинамическая терапия</w:t>
      </w:r>
      <w:r w:rsidR="00DF33B8" w:rsidRPr="00FA0BCB">
        <w:rPr>
          <w:color w:val="auto"/>
        </w:rPr>
        <w:t xml:space="preserve"> (хемо-ФДТ)</w:t>
      </w:r>
      <w:r w:rsidR="00672F84" w:rsidRPr="00FA0BCB">
        <w:rPr>
          <w:color w:val="auto"/>
        </w:rPr>
        <w:t>. Данный метод основан на возбуждении фотосенсибилизатора</w:t>
      </w:r>
      <w:r w:rsidR="00547B72" w:rsidRPr="00FA0BCB">
        <w:rPr>
          <w:color w:val="auto"/>
        </w:rPr>
        <w:t xml:space="preserve"> (ФС)</w:t>
      </w:r>
      <w:r w:rsidR="00672F84" w:rsidRPr="00FA0BCB">
        <w:rPr>
          <w:color w:val="auto"/>
        </w:rPr>
        <w:t xml:space="preserve"> за счет энергии химической реакции, которая протекает с участием пероксида водорода. </w:t>
      </w:r>
      <w:r w:rsidR="00547B72" w:rsidRPr="00FA0BCB">
        <w:rPr>
          <w:color w:val="auto"/>
        </w:rPr>
        <w:t>Н</w:t>
      </w:r>
      <w:r w:rsidR="00672F84" w:rsidRPr="00FA0BCB">
        <w:rPr>
          <w:color w:val="auto"/>
        </w:rPr>
        <w:t xml:space="preserve">аиболее </w:t>
      </w:r>
      <w:r w:rsidRPr="00FA0BCB">
        <w:rPr>
          <w:color w:val="auto"/>
        </w:rPr>
        <w:t>эффективной</w:t>
      </w:r>
      <w:r w:rsidR="00672F84" w:rsidRPr="00FA0BCB">
        <w:rPr>
          <w:color w:val="auto"/>
        </w:rPr>
        <w:t xml:space="preserve"> </w:t>
      </w:r>
      <w:bookmarkStart w:id="0" w:name="_GoBack"/>
      <w:bookmarkEnd w:id="0"/>
      <w:r w:rsidRPr="00FA0BCB">
        <w:rPr>
          <w:color w:val="auto"/>
        </w:rPr>
        <w:t xml:space="preserve">хемилюминесцентной </w:t>
      </w:r>
      <w:r>
        <w:t>реакцией</w:t>
      </w:r>
      <w:r w:rsidR="00561FEC">
        <w:t xml:space="preserve"> </w:t>
      </w:r>
      <w:r>
        <w:t>на Н</w:t>
      </w:r>
      <w:r w:rsidRPr="00222A2A">
        <w:rPr>
          <w:vertAlign w:val="subscript"/>
        </w:rPr>
        <w:t>2</w:t>
      </w:r>
      <w:r>
        <w:t>О</w:t>
      </w:r>
      <w:r w:rsidRPr="00222A2A">
        <w:rPr>
          <w:vertAlign w:val="subscript"/>
        </w:rPr>
        <w:t>2</w:t>
      </w:r>
      <w:r>
        <w:t xml:space="preserve"> </w:t>
      </w:r>
      <w:r w:rsidR="00672F84">
        <w:t>является пероксиоксалатная хемилюминесцентная реакция (ПО-реакция)</w:t>
      </w:r>
      <w:r w:rsidR="00547B72">
        <w:t xml:space="preserve">, </w:t>
      </w:r>
      <w:r w:rsidR="007F2F38">
        <w:t>схема ко</w:t>
      </w:r>
      <w:r w:rsidR="00547B72">
        <w:t>торой представлена на Рисунке 1.</w:t>
      </w:r>
      <w:r w:rsidR="007F2F38">
        <w:t xml:space="preserve"> </w:t>
      </w:r>
      <w:r w:rsidR="00547B72" w:rsidRPr="00B150DD">
        <w:t>Она протекает между</w:t>
      </w:r>
      <w:r w:rsidR="007F2F38" w:rsidRPr="00B150DD">
        <w:t xml:space="preserve"> пер</w:t>
      </w:r>
      <w:r w:rsidR="00547B72" w:rsidRPr="00B150DD">
        <w:t>оксидом водорода и ароматическим эфиром</w:t>
      </w:r>
      <w:r w:rsidR="001B0F3C" w:rsidRPr="00B150DD">
        <w:t xml:space="preserve"> щавелевой кислоты. В результате этой реакции образуется </w:t>
      </w:r>
      <w:r w:rsidR="00547B72" w:rsidRPr="00B150DD">
        <w:t>высокоэнер</w:t>
      </w:r>
      <w:r w:rsidR="001B0F3C" w:rsidRPr="00B150DD">
        <w:t>гетический</w:t>
      </w:r>
      <w:r w:rsidR="00547B72" w:rsidRPr="00B150DD">
        <w:t xml:space="preserve"> </w:t>
      </w:r>
      <w:r w:rsidR="001B0F3C" w:rsidRPr="00B150DD">
        <w:t>промежуточный продукт</w:t>
      </w:r>
      <w:r w:rsidR="00DF33B8">
        <w:t xml:space="preserve"> — 1,2-ди</w:t>
      </w:r>
      <w:r w:rsidR="00DF33B8" w:rsidRPr="00FA0BCB">
        <w:rPr>
          <w:color w:val="auto"/>
        </w:rPr>
        <w:t>окс</w:t>
      </w:r>
      <w:r w:rsidRPr="00FA0BCB">
        <w:rPr>
          <w:color w:val="auto"/>
        </w:rPr>
        <w:t>е</w:t>
      </w:r>
      <w:r w:rsidR="00DF33B8" w:rsidRPr="00FA0BCB">
        <w:rPr>
          <w:color w:val="auto"/>
        </w:rPr>
        <w:t>т</w:t>
      </w:r>
      <w:r w:rsidR="00DF33B8">
        <w:t>андион, который</w:t>
      </w:r>
      <w:r w:rsidR="00547B72">
        <w:t xml:space="preserve"> способен передавать </w:t>
      </w:r>
      <w:r>
        <w:t xml:space="preserve">избыточную </w:t>
      </w:r>
      <w:r w:rsidR="00547B72">
        <w:t>энергию ФС, переводя его в возбужденное состояние</w:t>
      </w:r>
      <w:r w:rsidR="007F2F38">
        <w:t xml:space="preserve">. </w:t>
      </w:r>
      <w:r w:rsidR="00547B72">
        <w:t xml:space="preserve">Далее процесс протекает в русле классической фотодинамической терапии. </w:t>
      </w:r>
      <w:r w:rsidR="00E12B3A">
        <w:t>Стоит отметить, что данный подход может быть использован не только для терапии рака, но и для его диагностики, так как в ходе реакции может выделяться свет.</w:t>
      </w:r>
    </w:p>
    <w:p w14:paraId="12EEF21F" w14:textId="77777777" w:rsidR="00F21BE8" w:rsidRDefault="007F2F38" w:rsidP="00C835AF">
      <w:pPr>
        <w:keepNext/>
        <w:shd w:val="clear" w:color="auto" w:fill="FFFFFF"/>
        <w:jc w:val="center"/>
      </w:pPr>
      <w:r>
        <w:rPr>
          <w:noProof/>
        </w:rPr>
        <w:drawing>
          <wp:inline distT="0" distB="0" distL="0" distR="0" wp14:anchorId="1D943FD2" wp14:editId="5B611D60">
            <wp:extent cx="4485174" cy="1070992"/>
            <wp:effectExtent l="0" t="0" r="0" b="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5174" cy="10709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CB3CAA" w14:textId="43FA4DCE" w:rsidR="00F21BE8" w:rsidRPr="00982DE0" w:rsidRDefault="00982DE0" w:rsidP="00C835AF">
      <w:pPr>
        <w:pStyle w:val="a5"/>
        <w:jc w:val="center"/>
        <w:rPr>
          <w:i w:val="0"/>
          <w:color w:val="000000"/>
          <w:sz w:val="24"/>
          <w:szCs w:val="24"/>
          <w:u w:color="000000"/>
        </w:rPr>
      </w:pPr>
      <w:r w:rsidRPr="00982DE0">
        <w:rPr>
          <w:i w:val="0"/>
          <w:color w:val="000000"/>
          <w:sz w:val="24"/>
          <w:szCs w:val="24"/>
          <w:u w:color="000000"/>
        </w:rPr>
        <w:t>Рис.</w:t>
      </w:r>
      <w:r w:rsidR="007F2F38" w:rsidRPr="00982DE0">
        <w:rPr>
          <w:i w:val="0"/>
          <w:color w:val="000000"/>
          <w:sz w:val="24"/>
          <w:szCs w:val="24"/>
          <w:u w:color="000000"/>
        </w:rPr>
        <w:t xml:space="preserve"> 1</w:t>
      </w:r>
      <w:r w:rsidR="00B150DD" w:rsidRPr="00982DE0">
        <w:rPr>
          <w:i w:val="0"/>
          <w:color w:val="000000"/>
          <w:sz w:val="24"/>
          <w:szCs w:val="24"/>
          <w:u w:color="000000"/>
        </w:rPr>
        <w:t>.</w:t>
      </w:r>
      <w:r w:rsidR="007F2F38" w:rsidRPr="00982DE0">
        <w:rPr>
          <w:i w:val="0"/>
          <w:color w:val="000000"/>
          <w:sz w:val="24"/>
          <w:szCs w:val="24"/>
          <w:u w:color="000000"/>
        </w:rPr>
        <w:t xml:space="preserve"> Схема</w:t>
      </w:r>
      <w:r>
        <w:rPr>
          <w:i w:val="0"/>
          <w:color w:val="000000"/>
          <w:sz w:val="24"/>
          <w:szCs w:val="24"/>
          <w:u w:color="000000"/>
        </w:rPr>
        <w:t xml:space="preserve"> хемилюминесцентной</w:t>
      </w:r>
      <w:r w:rsidR="007F2F38" w:rsidRPr="00982DE0">
        <w:rPr>
          <w:i w:val="0"/>
          <w:color w:val="000000"/>
          <w:sz w:val="24"/>
          <w:szCs w:val="24"/>
          <w:u w:color="000000"/>
        </w:rPr>
        <w:t xml:space="preserve"> пероксиоксалатной реакции</w:t>
      </w:r>
    </w:p>
    <w:p w14:paraId="45009F99" w14:textId="62E8241D" w:rsidR="00E632DE" w:rsidRDefault="003C2026" w:rsidP="00C835AF">
      <w:pPr>
        <w:shd w:val="clear" w:color="auto" w:fill="FFFFFF"/>
        <w:ind w:firstLine="397"/>
        <w:jc w:val="both"/>
      </w:pPr>
      <w:r>
        <w:t>Главным недостатком метода</w:t>
      </w:r>
      <w:r w:rsidR="00E12B3A">
        <w:t xml:space="preserve"> является нестабильность субстрата ПО-реакции в водной среде. </w:t>
      </w:r>
      <w:r w:rsidR="00672F84">
        <w:t xml:space="preserve">Для уменьшения гидролиза </w:t>
      </w:r>
      <w:r w:rsidR="00E12B3A">
        <w:t xml:space="preserve">оксалата его </w:t>
      </w:r>
      <w:r w:rsidR="007F2F38">
        <w:t>помещают в гидрофобные</w:t>
      </w:r>
      <w:r w:rsidR="00E12B3A">
        <w:t xml:space="preserve"> </w:t>
      </w:r>
      <w:r>
        <w:t>частицы</w:t>
      </w:r>
      <w:r w:rsidR="00E12B3A">
        <w:t xml:space="preserve"> (эмульсии, наночастицы, мицеллы)</w:t>
      </w:r>
      <w:r w:rsidR="007F2F38">
        <w:t xml:space="preserve">. </w:t>
      </w:r>
      <w:r w:rsidR="00E632DE">
        <w:t xml:space="preserve">Несмотря на то, что нанореакторы для хемо-ФДТ активно развиваются, детального исследования протекания ПО-реакции в них не проводилось. </w:t>
      </w:r>
    </w:p>
    <w:p w14:paraId="49C1F46F" w14:textId="671EB2A2" w:rsidR="005360BA" w:rsidRDefault="007F2F38" w:rsidP="005360BA">
      <w:pPr>
        <w:shd w:val="clear" w:color="auto" w:fill="FFFFFF"/>
        <w:ind w:firstLine="397"/>
        <w:jc w:val="both"/>
      </w:pPr>
      <w:r>
        <w:t xml:space="preserve">В данной работе в качестве </w:t>
      </w:r>
      <w:r w:rsidR="00DF634C">
        <w:t>нанореакторов</w:t>
      </w:r>
      <w:r w:rsidR="009B22E1">
        <w:t xml:space="preserve"> для проведения ПО-реакции использовали </w:t>
      </w:r>
      <w:r>
        <w:t>мицеллы блок-сополимеров м</w:t>
      </w:r>
      <w:r w:rsidR="00E12B3A">
        <w:t>олочной кислоты и этиленоксида</w:t>
      </w:r>
      <w:r w:rsidR="00937096">
        <w:t xml:space="preserve">, </w:t>
      </w:r>
      <w:r w:rsidR="005360BA">
        <w:t>получ</w:t>
      </w:r>
      <w:r w:rsidR="00937096">
        <w:t>енные</w:t>
      </w:r>
      <w:r w:rsidR="005360BA">
        <w:t xml:space="preserve"> методом нанопреципитации</w:t>
      </w:r>
      <w:r w:rsidR="001E3DE9">
        <w:t>. С</w:t>
      </w:r>
      <w:r w:rsidR="005360BA">
        <w:t xml:space="preserve"> помощью динамического светорассеяния было установлено, что </w:t>
      </w:r>
      <w:r w:rsidR="00F021EC">
        <w:t xml:space="preserve">в </w:t>
      </w:r>
      <w:r w:rsidR="00937096">
        <w:t xml:space="preserve">основном </w:t>
      </w:r>
      <w:r w:rsidR="005360BA">
        <w:t>образуются частицы с г</w:t>
      </w:r>
      <w:r w:rsidR="00197463">
        <w:t>идродинамическим радиусом</w:t>
      </w:r>
      <w:r w:rsidR="00AB148D">
        <w:t xml:space="preserve"> </w:t>
      </w:r>
      <w:r w:rsidR="00AB148D">
        <w:br/>
        <w:t>15-16 </w:t>
      </w:r>
      <w:r w:rsidR="005360BA">
        <w:t>нм. Второй фракцией являются ч</w:t>
      </w:r>
      <w:r w:rsidR="00AB148D">
        <w:t>астицы с радиусом от 100 до 240 </w:t>
      </w:r>
      <w:r w:rsidR="005360BA">
        <w:t>нм. При увеличении концентрации полимера увеличивается доля и размер крупной фракции</w:t>
      </w:r>
      <w:r w:rsidR="00A307DE">
        <w:t xml:space="preserve">, что вероятно, говорит о том, что вторая </w:t>
      </w:r>
      <w:r w:rsidR="00A307DE" w:rsidRPr="00FA0BCB">
        <w:rPr>
          <w:color w:val="auto"/>
        </w:rPr>
        <w:t>фракция представляет собой агрегаты нескольких мицелл.</w:t>
      </w:r>
      <w:r w:rsidR="0032272C" w:rsidRPr="00FA0BCB">
        <w:rPr>
          <w:color w:val="auto"/>
        </w:rPr>
        <w:t xml:space="preserve"> Солюбилизация компонентов реакции в мицелл</w:t>
      </w:r>
      <w:r w:rsidR="00222A2A" w:rsidRPr="00FA0BCB">
        <w:rPr>
          <w:color w:val="auto"/>
        </w:rPr>
        <w:t>ах</w:t>
      </w:r>
      <w:r w:rsidR="0032272C" w:rsidRPr="00FA0BCB">
        <w:rPr>
          <w:color w:val="auto"/>
        </w:rPr>
        <w:t xml:space="preserve"> практически </w:t>
      </w:r>
      <w:r w:rsidR="0032272C">
        <w:t>никак не влиял</w:t>
      </w:r>
      <w:r w:rsidR="00222A2A">
        <w:t>а</w:t>
      </w:r>
      <w:r w:rsidR="0032272C">
        <w:t xml:space="preserve"> на размеры фракций и на их долю.</w:t>
      </w:r>
    </w:p>
    <w:p w14:paraId="753AABE7" w14:textId="792105E5" w:rsidR="00A307DE" w:rsidRDefault="00A307DE" w:rsidP="005360BA">
      <w:pPr>
        <w:shd w:val="clear" w:color="auto" w:fill="FFFFFF"/>
        <w:ind w:firstLine="397"/>
        <w:jc w:val="both"/>
      </w:pPr>
      <w:r>
        <w:t>Отметим, что изменение концентрации полимера отражалось не только на квантовом выхо</w:t>
      </w:r>
      <w:r w:rsidR="002C500C">
        <w:t xml:space="preserve">де ПО-реакции, но и изменяло </w:t>
      </w:r>
      <w:r>
        <w:t>кинетику</w:t>
      </w:r>
      <w:r w:rsidR="002C500C">
        <w:t xml:space="preserve"> реакции</w:t>
      </w:r>
      <w:r>
        <w:t xml:space="preserve">. Увеличение концентрации полимера в 5 раз замедляет скорость реакции примерно </w:t>
      </w:r>
      <w:r w:rsidRPr="00E0485D">
        <w:t>в 2 раза. Такое</w:t>
      </w:r>
      <w:r>
        <w:t xml:space="preserve"> существенное влияние</w:t>
      </w:r>
      <w:r w:rsidR="001E3DE9">
        <w:t xml:space="preserve">, возможно, связано с изменением структуры мицеллы </w:t>
      </w:r>
      <w:r w:rsidR="001E3DE9" w:rsidRPr="00E0485D">
        <w:t>(степени агрегации),</w:t>
      </w:r>
      <w:r w:rsidR="001E3DE9">
        <w:t xml:space="preserve"> в результате чего увеличивается ее гидрофобность и, соответственно, уменьшается локальная концентрация воды, что приводит к замедлению реакции.</w:t>
      </w:r>
    </w:p>
    <w:p w14:paraId="3F25860C" w14:textId="703CB0AC" w:rsidR="00F21BE8" w:rsidRPr="001E3DE9" w:rsidRDefault="00C835AF" w:rsidP="001E3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397"/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C835AF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Работа была выполнена в качестве части проекта «Современные проблемы химии и физикохимии макромолекул» (Государственное задание 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  <w:lang w:val="en-US"/>
        </w:rPr>
        <w:t>No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. 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  <w:lang w:val="en-US"/>
        </w:rPr>
        <w:t>AAAA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</w:rPr>
        <w:t>-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  <w:lang w:val="en-US"/>
        </w:rPr>
        <w:t>A</w:t>
      </w:r>
      <w:r w:rsidRPr="00C835AF">
        <w:rPr>
          <w:rFonts w:eastAsia="Times New Roman" w:cs="Times New Roman"/>
          <w:i/>
          <w:iCs/>
          <w:color w:val="auto"/>
          <w:bdr w:val="none" w:sz="0" w:space="0" w:color="auto"/>
        </w:rPr>
        <w:t>21-121011990022-4).</w:t>
      </w:r>
    </w:p>
    <w:sectPr w:rsidR="00F21BE8" w:rsidRPr="001E3DE9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49B017" w16cex:dateUtc="2025-03-03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53F1FD" w16cid:durableId="7249B01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10C81" w14:textId="77777777" w:rsidR="00945E93" w:rsidRDefault="00945E93">
      <w:r>
        <w:separator/>
      </w:r>
    </w:p>
  </w:endnote>
  <w:endnote w:type="continuationSeparator" w:id="0">
    <w:p w14:paraId="0AB27D4A" w14:textId="77777777" w:rsidR="00945E93" w:rsidRDefault="0094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7795" w14:textId="77777777" w:rsidR="00F21BE8" w:rsidRDefault="00F21B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19AF0" w14:textId="77777777" w:rsidR="00945E93" w:rsidRDefault="00945E93">
      <w:r>
        <w:separator/>
      </w:r>
    </w:p>
  </w:footnote>
  <w:footnote w:type="continuationSeparator" w:id="0">
    <w:p w14:paraId="2E63DA93" w14:textId="77777777" w:rsidR="00945E93" w:rsidRDefault="0094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08CB" w14:textId="77777777" w:rsidR="00F21BE8" w:rsidRDefault="00F21B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E8"/>
    <w:rsid w:val="00197463"/>
    <w:rsid w:val="001B0F3C"/>
    <w:rsid w:val="001E3DE9"/>
    <w:rsid w:val="00222A2A"/>
    <w:rsid w:val="002C500C"/>
    <w:rsid w:val="002C5A92"/>
    <w:rsid w:val="0032272C"/>
    <w:rsid w:val="00363581"/>
    <w:rsid w:val="003C2026"/>
    <w:rsid w:val="00523245"/>
    <w:rsid w:val="005360BA"/>
    <w:rsid w:val="00547B72"/>
    <w:rsid w:val="00561FEC"/>
    <w:rsid w:val="005F0962"/>
    <w:rsid w:val="00672F84"/>
    <w:rsid w:val="006828F7"/>
    <w:rsid w:val="00776221"/>
    <w:rsid w:val="007F2F38"/>
    <w:rsid w:val="008B7161"/>
    <w:rsid w:val="00930122"/>
    <w:rsid w:val="00937096"/>
    <w:rsid w:val="00945E93"/>
    <w:rsid w:val="00982DE0"/>
    <w:rsid w:val="009B22E1"/>
    <w:rsid w:val="00A307DE"/>
    <w:rsid w:val="00AB148D"/>
    <w:rsid w:val="00B150DD"/>
    <w:rsid w:val="00B75351"/>
    <w:rsid w:val="00C835AF"/>
    <w:rsid w:val="00C90E31"/>
    <w:rsid w:val="00CE4FEE"/>
    <w:rsid w:val="00DF33B8"/>
    <w:rsid w:val="00DF634C"/>
    <w:rsid w:val="00E0485D"/>
    <w:rsid w:val="00E12B3A"/>
    <w:rsid w:val="00E169EC"/>
    <w:rsid w:val="00E632DE"/>
    <w:rsid w:val="00F021EC"/>
    <w:rsid w:val="00F21BE8"/>
    <w:rsid w:val="00F54A4F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95D3"/>
  <w15:docId w15:val="{88BA10A9-D2E6-4DF3-927B-555A7A21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caption"/>
    <w:next w:val="a"/>
    <w:pPr>
      <w:spacing w:after="200"/>
    </w:pPr>
    <w:rPr>
      <w:rFonts w:cs="Arial Unicode MS"/>
      <w:i/>
      <w:iCs/>
      <w:color w:val="1F497D"/>
      <w:sz w:val="18"/>
      <w:szCs w:val="18"/>
      <w:u w:color="1F497D"/>
    </w:rPr>
  </w:style>
  <w:style w:type="character" w:styleId="a6">
    <w:name w:val="annotation reference"/>
    <w:basedOn w:val="a0"/>
    <w:uiPriority w:val="99"/>
    <w:semiHidden/>
    <w:unhideWhenUsed/>
    <w:rsid w:val="00561F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1FE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1FEC"/>
    <w:rPr>
      <w:rFonts w:cs="Arial Unicode MS"/>
      <w:color w:val="000000"/>
      <w:u w:color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1FE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1FEC"/>
    <w:rPr>
      <w:rFonts w:cs="Arial Unicode MS"/>
      <w:b/>
      <w:bCs/>
      <w:color w:val="000000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FA0B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0BC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N.S.Melik-Nubarov</dc:creator>
  <cp:lastModifiedBy>Пользователь Windows</cp:lastModifiedBy>
  <cp:revision>3</cp:revision>
  <dcterms:created xsi:type="dcterms:W3CDTF">2025-03-03T09:38:00Z</dcterms:created>
  <dcterms:modified xsi:type="dcterms:W3CDTF">2025-03-03T09:43:00Z</dcterms:modified>
</cp:coreProperties>
</file>