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AE3BD" w14:textId="77777777" w:rsidR="00794D6D" w:rsidRDefault="00794D6D" w:rsidP="00794D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Полимеризация</w:t>
      </w:r>
      <w:r w:rsidRPr="00E5028D">
        <w:rPr>
          <w:b/>
          <w:color w:val="000000"/>
        </w:rPr>
        <w:t xml:space="preserve"> </w:t>
      </w:r>
      <w:r>
        <w:rPr>
          <w:b/>
          <w:color w:val="000000"/>
        </w:rPr>
        <w:t>β-</w:t>
      </w:r>
      <w:proofErr w:type="spellStart"/>
      <w:r>
        <w:rPr>
          <w:b/>
          <w:color w:val="000000"/>
        </w:rPr>
        <w:t>бутиролактона</w:t>
      </w:r>
      <w:proofErr w:type="spellEnd"/>
      <w:r>
        <w:rPr>
          <w:b/>
          <w:color w:val="000000"/>
        </w:rPr>
        <w:t xml:space="preserve"> и мон</w:t>
      </w:r>
      <w:r w:rsidRPr="00E5028D">
        <w:rPr>
          <w:b/>
          <w:color w:val="000000"/>
        </w:rPr>
        <w:t>омеров Михаэля</w:t>
      </w:r>
      <w:r>
        <w:rPr>
          <w:b/>
          <w:color w:val="000000"/>
        </w:rPr>
        <w:t xml:space="preserve"> в присутствии катализаторов на основе пост-</w:t>
      </w:r>
      <w:proofErr w:type="spellStart"/>
      <w:r>
        <w:rPr>
          <w:b/>
          <w:color w:val="000000"/>
        </w:rPr>
        <w:t>металлоценовых</w:t>
      </w:r>
      <w:proofErr w:type="spellEnd"/>
      <w:r>
        <w:rPr>
          <w:b/>
          <w:color w:val="000000"/>
        </w:rPr>
        <w:t xml:space="preserve"> комплексов иттрия </w:t>
      </w:r>
    </w:p>
    <w:p w14:paraId="00000002" w14:textId="2AAC03E9" w:rsidR="00130241" w:rsidRDefault="00E502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Слепнева А.С., Горюнов Г.П., Яшин А.Н., </w:t>
      </w:r>
      <w:proofErr w:type="spellStart"/>
      <w:r>
        <w:rPr>
          <w:b/>
          <w:i/>
          <w:color w:val="000000"/>
        </w:rPr>
        <w:t>Уборский</w:t>
      </w:r>
      <w:proofErr w:type="spellEnd"/>
      <w:r>
        <w:rPr>
          <w:b/>
          <w:i/>
          <w:color w:val="000000"/>
        </w:rPr>
        <w:t xml:space="preserve"> Д.В.</w:t>
      </w:r>
      <w:r w:rsidR="00C923EC">
        <w:rPr>
          <w:b/>
          <w:i/>
          <w:color w:val="000000"/>
        </w:rPr>
        <w:t>, Воскобойников А.З.</w:t>
      </w:r>
    </w:p>
    <w:p w14:paraId="00000003" w14:textId="7849AAA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00000005" w14:textId="41BE3A32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240E957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4F1510">
        <w:rPr>
          <w:i/>
          <w:color w:val="000000"/>
        </w:rPr>
        <w:t>mail</w:t>
      </w:r>
      <w:proofErr w:type="spellEnd"/>
      <w:r w:rsidR="004F1510">
        <w:rPr>
          <w:i/>
          <w:color w:val="000000"/>
        </w:rPr>
        <w:t>:</w:t>
      </w:r>
      <w:r w:rsidR="00E06ABC" w:rsidRPr="003D369C">
        <w:rPr>
          <w:i/>
          <w:color w:val="000000"/>
        </w:rPr>
        <w:t xml:space="preserve"> </w:t>
      </w:r>
      <w:proofErr w:type="spellStart"/>
      <w:r w:rsidR="004F1510">
        <w:rPr>
          <w:i/>
          <w:color w:val="000000"/>
          <w:lang w:val="en-US"/>
        </w:rPr>
        <w:t>slepnevaanna</w:t>
      </w:r>
      <w:proofErr w:type="spellEnd"/>
      <w:r w:rsidR="004F1510" w:rsidRPr="004F1510">
        <w:rPr>
          <w:i/>
          <w:color w:val="000000"/>
        </w:rPr>
        <w:t>@</w:t>
      </w:r>
      <w:proofErr w:type="spellStart"/>
      <w:r w:rsidR="004F1510">
        <w:rPr>
          <w:i/>
          <w:color w:val="000000"/>
          <w:lang w:val="en-US"/>
        </w:rPr>
        <w:t>gmail</w:t>
      </w:r>
      <w:proofErr w:type="spellEnd"/>
      <w:r w:rsidR="004F1510" w:rsidRPr="004F1510">
        <w:rPr>
          <w:i/>
          <w:color w:val="000000"/>
        </w:rPr>
        <w:t>.</w:t>
      </w:r>
      <w:r w:rsidR="004F1510">
        <w:rPr>
          <w:i/>
          <w:color w:val="000000"/>
          <w:lang w:val="en-US"/>
        </w:rPr>
        <w:t>com</w:t>
      </w:r>
      <w:r>
        <w:rPr>
          <w:i/>
          <w:color w:val="000000"/>
        </w:rPr>
        <w:t xml:space="preserve"> </w:t>
      </w:r>
    </w:p>
    <w:p w14:paraId="291C64BB" w14:textId="33F27E17" w:rsidR="003D369C" w:rsidRPr="003D369C" w:rsidRDefault="003D369C" w:rsidP="003D3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D369C">
        <w:rPr>
          <w:color w:val="000000"/>
        </w:rPr>
        <w:t>Комплексы редкоземельных металлов известны своей способностью катализировать полимеризаци</w:t>
      </w:r>
      <w:r w:rsidR="00794D6D">
        <w:rPr>
          <w:color w:val="000000"/>
        </w:rPr>
        <w:t>ю различных мономеров</w:t>
      </w:r>
      <w:r w:rsidRPr="003D369C">
        <w:rPr>
          <w:color w:val="000000"/>
        </w:rPr>
        <w:t xml:space="preserve">. Одним </w:t>
      </w:r>
      <w:r w:rsidR="00E5028D">
        <w:rPr>
          <w:color w:val="000000"/>
        </w:rPr>
        <w:t>из этих процессов</w:t>
      </w:r>
      <w:r w:rsidRPr="003D369C">
        <w:rPr>
          <w:color w:val="000000"/>
        </w:rPr>
        <w:t xml:space="preserve"> является полимеризация с переносом группы (</w:t>
      </w:r>
      <w:proofErr w:type="spellStart"/>
      <w:r w:rsidRPr="003D369C">
        <w:rPr>
          <w:color w:val="000000"/>
        </w:rPr>
        <w:t>group-transfer</w:t>
      </w:r>
      <w:proofErr w:type="spellEnd"/>
      <w:r w:rsidRPr="003D369C">
        <w:rPr>
          <w:color w:val="000000"/>
        </w:rPr>
        <w:t xml:space="preserve"> </w:t>
      </w:r>
      <w:proofErr w:type="spellStart"/>
      <w:r w:rsidRPr="003D369C">
        <w:rPr>
          <w:color w:val="000000"/>
        </w:rPr>
        <w:t>polymerization</w:t>
      </w:r>
      <w:proofErr w:type="spellEnd"/>
      <w:r w:rsidRPr="003D369C">
        <w:rPr>
          <w:color w:val="000000"/>
        </w:rPr>
        <w:t>, GTP) мономеров Михаэля</w:t>
      </w:r>
      <w:r w:rsidR="006233CF">
        <w:rPr>
          <w:color w:val="000000"/>
        </w:rPr>
        <w:t xml:space="preserve"> (например, метилметакрилат</w:t>
      </w:r>
      <w:r w:rsidR="005A0C20">
        <w:rPr>
          <w:color w:val="000000"/>
        </w:rPr>
        <w:t>а</w:t>
      </w:r>
      <w:r w:rsidR="006233CF">
        <w:rPr>
          <w:color w:val="000000"/>
        </w:rPr>
        <w:t>, 2-винилпиридин</w:t>
      </w:r>
      <w:r w:rsidR="005A0C20">
        <w:rPr>
          <w:color w:val="000000"/>
        </w:rPr>
        <w:t>а</w:t>
      </w:r>
      <w:r w:rsidR="006233CF">
        <w:rPr>
          <w:color w:val="000000"/>
        </w:rPr>
        <w:t>, 2-изопропенил-2-оксазолин</w:t>
      </w:r>
      <w:r w:rsidR="005A0C20">
        <w:rPr>
          <w:color w:val="000000"/>
        </w:rPr>
        <w:t>а</w:t>
      </w:r>
      <w:r w:rsidR="006233CF">
        <w:rPr>
          <w:color w:val="000000"/>
        </w:rPr>
        <w:t>)</w:t>
      </w:r>
      <w:r w:rsidRPr="003D369C">
        <w:rPr>
          <w:color w:val="000000"/>
        </w:rPr>
        <w:t xml:space="preserve">, с помощью которой можно получить функциональные полимеры, </w:t>
      </w:r>
      <w:r w:rsidR="00791C36">
        <w:rPr>
          <w:color w:val="000000"/>
        </w:rPr>
        <w:t>использующиеся</w:t>
      </w:r>
      <w:r w:rsidRPr="003D369C">
        <w:rPr>
          <w:color w:val="000000"/>
        </w:rPr>
        <w:t xml:space="preserve"> для </w:t>
      </w:r>
      <w:r w:rsidR="00794D6D">
        <w:rPr>
          <w:color w:val="000000"/>
        </w:rPr>
        <w:t>изготовления</w:t>
      </w:r>
      <w:r w:rsidR="00794D6D" w:rsidRPr="003D369C">
        <w:rPr>
          <w:color w:val="000000"/>
        </w:rPr>
        <w:t xml:space="preserve"> </w:t>
      </w:r>
      <w:r w:rsidRPr="003D369C">
        <w:rPr>
          <w:color w:val="000000"/>
        </w:rPr>
        <w:t>хирургических нитей, различных мембран, ионообменных,</w:t>
      </w:r>
      <w:bookmarkStart w:id="0" w:name="_GoBack"/>
      <w:bookmarkEnd w:id="0"/>
      <w:r w:rsidRPr="003D369C">
        <w:rPr>
          <w:color w:val="000000"/>
        </w:rPr>
        <w:t xml:space="preserve"> </w:t>
      </w:r>
      <w:proofErr w:type="spellStart"/>
      <w:r w:rsidRPr="003D369C">
        <w:rPr>
          <w:color w:val="000000"/>
        </w:rPr>
        <w:t>энергоаккумулирующих</w:t>
      </w:r>
      <w:proofErr w:type="spellEnd"/>
      <w:r w:rsidRPr="003D369C">
        <w:rPr>
          <w:color w:val="000000"/>
        </w:rPr>
        <w:t xml:space="preserve"> и инженерных</w:t>
      </w:r>
      <w:r w:rsidR="007A6334">
        <w:rPr>
          <w:color w:val="000000"/>
        </w:rPr>
        <w:t xml:space="preserve"> материалов, а также </w:t>
      </w:r>
      <w:proofErr w:type="spellStart"/>
      <w:r w:rsidR="007A6334">
        <w:rPr>
          <w:color w:val="000000"/>
        </w:rPr>
        <w:t>наночастиц</w:t>
      </w:r>
      <w:proofErr w:type="spellEnd"/>
      <w:r w:rsidR="008A79A8">
        <w:rPr>
          <w:color w:val="000000"/>
        </w:rPr>
        <w:t xml:space="preserve"> </w:t>
      </w:r>
      <w:r w:rsidRPr="003D369C">
        <w:rPr>
          <w:color w:val="000000"/>
        </w:rPr>
        <w:t>[1]. Другой пример – полимеризация с раскрытием цикла (</w:t>
      </w:r>
      <w:proofErr w:type="spellStart"/>
      <w:r w:rsidRPr="003D369C">
        <w:rPr>
          <w:color w:val="000000"/>
        </w:rPr>
        <w:t>ring-opening</w:t>
      </w:r>
      <w:proofErr w:type="spellEnd"/>
      <w:r w:rsidRPr="003D369C">
        <w:rPr>
          <w:color w:val="000000"/>
        </w:rPr>
        <w:t xml:space="preserve"> </w:t>
      </w:r>
      <w:proofErr w:type="spellStart"/>
      <w:r w:rsidRPr="003D369C">
        <w:rPr>
          <w:color w:val="000000"/>
        </w:rPr>
        <w:t>polymerization</w:t>
      </w:r>
      <w:proofErr w:type="spellEnd"/>
      <w:r w:rsidRPr="003D369C">
        <w:rPr>
          <w:color w:val="000000"/>
        </w:rPr>
        <w:t>, ROP), являющаяся перспективным методом получения поли(лактонов), в особенности поли(β-</w:t>
      </w:r>
      <w:proofErr w:type="spellStart"/>
      <w:r w:rsidRPr="003D369C">
        <w:rPr>
          <w:color w:val="000000"/>
        </w:rPr>
        <w:t>гидроксибутирата</w:t>
      </w:r>
      <w:proofErr w:type="spellEnd"/>
      <w:r w:rsidRPr="003D369C">
        <w:rPr>
          <w:color w:val="000000"/>
        </w:rPr>
        <w:t xml:space="preserve">), </w:t>
      </w:r>
      <w:r w:rsidR="00794D6D">
        <w:rPr>
          <w:color w:val="000000"/>
        </w:rPr>
        <w:t>обладающего</w:t>
      </w:r>
      <w:r w:rsidRPr="003D369C">
        <w:rPr>
          <w:color w:val="000000"/>
        </w:rPr>
        <w:t xml:space="preserve"> уникальным</w:t>
      </w:r>
      <w:r w:rsidR="00794D6D">
        <w:rPr>
          <w:color w:val="000000"/>
        </w:rPr>
        <w:t>и</w:t>
      </w:r>
      <w:r w:rsidRPr="003D369C">
        <w:rPr>
          <w:color w:val="000000"/>
        </w:rPr>
        <w:t xml:space="preserve"> свойствам</w:t>
      </w:r>
      <w:r w:rsidR="00794D6D">
        <w:rPr>
          <w:color w:val="000000"/>
        </w:rPr>
        <w:t>и</w:t>
      </w:r>
      <w:r w:rsidRPr="003D369C">
        <w:rPr>
          <w:color w:val="000000"/>
        </w:rPr>
        <w:t>, повторяющими макроск</w:t>
      </w:r>
      <w:r w:rsidR="007A6334">
        <w:rPr>
          <w:color w:val="000000"/>
        </w:rPr>
        <w:t xml:space="preserve">опические свойства </w:t>
      </w:r>
      <w:r w:rsidR="00791C36">
        <w:rPr>
          <w:color w:val="000000"/>
        </w:rPr>
        <w:t xml:space="preserve">некоторых </w:t>
      </w:r>
      <w:r w:rsidR="007A6334">
        <w:rPr>
          <w:color w:val="000000"/>
        </w:rPr>
        <w:t>полиолефинов</w:t>
      </w:r>
      <w:r w:rsidR="00794D6D">
        <w:rPr>
          <w:color w:val="000000"/>
        </w:rPr>
        <w:t xml:space="preserve"> </w:t>
      </w:r>
      <w:r w:rsidRPr="003D369C">
        <w:rPr>
          <w:color w:val="000000"/>
        </w:rPr>
        <w:t>[2]. Кроме того, поли(β-</w:t>
      </w:r>
      <w:proofErr w:type="spellStart"/>
      <w:r w:rsidRPr="003D369C">
        <w:rPr>
          <w:color w:val="000000"/>
        </w:rPr>
        <w:t>гидроксибутират</w:t>
      </w:r>
      <w:proofErr w:type="spellEnd"/>
      <w:r w:rsidRPr="003D369C">
        <w:rPr>
          <w:color w:val="000000"/>
        </w:rPr>
        <w:t xml:space="preserve">) является </w:t>
      </w:r>
      <w:r w:rsidR="00791C36">
        <w:rPr>
          <w:color w:val="000000"/>
        </w:rPr>
        <w:t xml:space="preserve">биосовместимым и </w:t>
      </w:r>
      <w:proofErr w:type="spellStart"/>
      <w:r w:rsidRPr="003D369C">
        <w:rPr>
          <w:color w:val="000000"/>
        </w:rPr>
        <w:t>биоразлагаемым</w:t>
      </w:r>
      <w:proofErr w:type="spellEnd"/>
      <w:r w:rsidRPr="003D369C">
        <w:rPr>
          <w:color w:val="000000"/>
        </w:rPr>
        <w:t xml:space="preserve"> полимером. </w:t>
      </w:r>
      <w:r w:rsidR="008A79A8">
        <w:rPr>
          <w:color w:val="000000"/>
        </w:rPr>
        <w:t>В</w:t>
      </w:r>
      <w:r w:rsidR="008A79A8" w:rsidRPr="003D369C">
        <w:rPr>
          <w:color w:val="000000"/>
        </w:rPr>
        <w:t xml:space="preserve"> 2021 году</w:t>
      </w:r>
      <w:r w:rsidR="008A79A8">
        <w:rPr>
          <w:color w:val="000000"/>
        </w:rPr>
        <w:t>,</w:t>
      </w:r>
      <w:r w:rsidR="008A79A8" w:rsidDel="008A79A8">
        <w:rPr>
          <w:color w:val="000000"/>
        </w:rPr>
        <w:t xml:space="preserve"> </w:t>
      </w:r>
      <w:proofErr w:type="spellStart"/>
      <w:r w:rsidR="00CC3217">
        <w:rPr>
          <w:color w:val="000000"/>
        </w:rPr>
        <w:t>Ригер</w:t>
      </w:r>
      <w:proofErr w:type="spellEnd"/>
      <w:r w:rsidR="008A79A8">
        <w:rPr>
          <w:color w:val="000000"/>
        </w:rPr>
        <w:t xml:space="preserve"> с </w:t>
      </w:r>
      <w:proofErr w:type="spellStart"/>
      <w:r w:rsidR="008A79A8">
        <w:rPr>
          <w:color w:val="000000"/>
        </w:rPr>
        <w:t>сотр</w:t>
      </w:r>
      <w:proofErr w:type="spellEnd"/>
      <w:r w:rsidR="008A79A8">
        <w:rPr>
          <w:color w:val="000000"/>
        </w:rPr>
        <w:t>.</w:t>
      </w:r>
      <w:r w:rsidRPr="003D369C">
        <w:rPr>
          <w:color w:val="000000"/>
        </w:rPr>
        <w:t xml:space="preserve"> </w:t>
      </w:r>
      <w:r w:rsidR="008A79A8">
        <w:rPr>
          <w:color w:val="000000"/>
        </w:rPr>
        <w:t>показали</w:t>
      </w:r>
      <w:r w:rsidRPr="003D369C">
        <w:rPr>
          <w:color w:val="000000"/>
        </w:rPr>
        <w:t xml:space="preserve">, что эти два процесса (GTP и ROP) можно проводить последовательно, используя один </w:t>
      </w:r>
      <w:r w:rsidR="008A79A8">
        <w:rPr>
          <w:color w:val="000000"/>
        </w:rPr>
        <w:t>катализатор на основе</w:t>
      </w:r>
      <w:r w:rsidR="008A79A8" w:rsidRPr="003D369C">
        <w:rPr>
          <w:color w:val="000000"/>
        </w:rPr>
        <w:t xml:space="preserve"> </w:t>
      </w:r>
      <w:r w:rsidRPr="003D369C">
        <w:rPr>
          <w:color w:val="000000"/>
        </w:rPr>
        <w:t>бис</w:t>
      </w:r>
      <w:r w:rsidR="008A79A8">
        <w:rPr>
          <w:color w:val="000000"/>
        </w:rPr>
        <w:t>-</w:t>
      </w:r>
      <w:proofErr w:type="spellStart"/>
      <w:r w:rsidRPr="003D369C">
        <w:rPr>
          <w:color w:val="000000"/>
        </w:rPr>
        <w:t>фенолятн</w:t>
      </w:r>
      <w:r w:rsidR="008A79A8">
        <w:rPr>
          <w:color w:val="000000"/>
        </w:rPr>
        <w:t>ого</w:t>
      </w:r>
      <w:proofErr w:type="spellEnd"/>
      <w:r w:rsidRPr="003D369C">
        <w:rPr>
          <w:color w:val="000000"/>
        </w:rPr>
        <w:t xml:space="preserve"> комплекс</w:t>
      </w:r>
      <w:r w:rsidR="008A79A8">
        <w:rPr>
          <w:color w:val="000000"/>
        </w:rPr>
        <w:t>а редкоземельного металла. Проведение такого процесса</w:t>
      </w:r>
      <w:r w:rsidRPr="003D369C">
        <w:rPr>
          <w:color w:val="000000"/>
        </w:rPr>
        <w:t xml:space="preserve"> позволило синтезировать сополимеры</w:t>
      </w:r>
      <w:r w:rsidR="008A79A8">
        <w:rPr>
          <w:color w:val="000000"/>
        </w:rPr>
        <w:t>, содержащие блоки</w:t>
      </w:r>
      <w:r w:rsidRPr="003D369C">
        <w:rPr>
          <w:color w:val="000000"/>
        </w:rPr>
        <w:t xml:space="preserve"> поли(2-винилпиридина) и </w:t>
      </w:r>
      <w:proofErr w:type="spellStart"/>
      <w:r w:rsidRPr="003D369C">
        <w:rPr>
          <w:color w:val="000000"/>
        </w:rPr>
        <w:t>поликапролактона</w:t>
      </w:r>
      <w:proofErr w:type="spellEnd"/>
      <w:r w:rsidRPr="003D369C">
        <w:rPr>
          <w:color w:val="000000"/>
        </w:rPr>
        <w:t>, которые могут использоваться для формирования мицелл и адресной доставки лекарств. Однако, попытки</w:t>
      </w:r>
      <w:r w:rsidR="008A79A8">
        <w:rPr>
          <w:color w:val="000000"/>
        </w:rPr>
        <w:t xml:space="preserve"> авторов получить, используя эту методологию, </w:t>
      </w:r>
      <w:r w:rsidRPr="003D369C">
        <w:rPr>
          <w:color w:val="000000"/>
        </w:rPr>
        <w:t>сополимер</w:t>
      </w:r>
      <w:r w:rsidR="008A79A8">
        <w:rPr>
          <w:color w:val="000000"/>
        </w:rPr>
        <w:t>ы, содержащие блоки</w:t>
      </w:r>
      <w:r w:rsidRPr="003D369C">
        <w:rPr>
          <w:color w:val="000000"/>
        </w:rPr>
        <w:t xml:space="preserve"> поли(2-винилпиридина) и поли(β-</w:t>
      </w:r>
      <w:proofErr w:type="spellStart"/>
      <w:r w:rsidRPr="003D369C">
        <w:rPr>
          <w:color w:val="000000"/>
        </w:rPr>
        <w:t>ги</w:t>
      </w:r>
      <w:r w:rsidR="007A6334">
        <w:rPr>
          <w:color w:val="000000"/>
        </w:rPr>
        <w:t>дроксибутирата</w:t>
      </w:r>
      <w:proofErr w:type="spellEnd"/>
      <w:r w:rsidR="007A6334">
        <w:rPr>
          <w:color w:val="000000"/>
        </w:rPr>
        <w:t>)</w:t>
      </w:r>
      <w:r w:rsidR="008A79A8">
        <w:rPr>
          <w:color w:val="000000"/>
        </w:rPr>
        <w:t>,</w:t>
      </w:r>
      <w:r w:rsidR="007A6334">
        <w:rPr>
          <w:color w:val="000000"/>
        </w:rPr>
        <w:t xml:space="preserve"> были безуспешны</w:t>
      </w:r>
      <w:r w:rsidR="008A79A8">
        <w:rPr>
          <w:color w:val="000000"/>
        </w:rPr>
        <w:t xml:space="preserve"> </w:t>
      </w:r>
      <w:r w:rsidRPr="003D369C">
        <w:rPr>
          <w:color w:val="000000"/>
        </w:rPr>
        <w:t>[3,4].</w:t>
      </w:r>
    </w:p>
    <w:p w14:paraId="2F09D7B7" w14:textId="61654405" w:rsidR="003D369C" w:rsidRDefault="003D369C" w:rsidP="003D3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D369C">
        <w:rPr>
          <w:color w:val="000000"/>
        </w:rPr>
        <w:t xml:space="preserve">Нами были разработаны </w:t>
      </w:r>
      <w:proofErr w:type="spellStart"/>
      <w:r w:rsidRPr="003D369C">
        <w:rPr>
          <w:color w:val="000000"/>
        </w:rPr>
        <w:t>высокоизоселективные</w:t>
      </w:r>
      <w:proofErr w:type="spellEnd"/>
      <w:r w:rsidRPr="003D369C">
        <w:rPr>
          <w:color w:val="000000"/>
        </w:rPr>
        <w:t xml:space="preserve"> инициаторы полимеризации с переносом группы 2-винилпиридина и полимеризации с раскрытием цикла рацемического β-</w:t>
      </w:r>
      <w:proofErr w:type="spellStart"/>
      <w:r w:rsidRPr="003D369C">
        <w:rPr>
          <w:color w:val="000000"/>
        </w:rPr>
        <w:t>бутиролактона</w:t>
      </w:r>
      <w:proofErr w:type="spellEnd"/>
      <w:r w:rsidRPr="003D369C">
        <w:rPr>
          <w:color w:val="000000"/>
        </w:rPr>
        <w:t xml:space="preserve"> на основе комплексов иттрия с пиридин-2,6-бис(</w:t>
      </w:r>
      <w:proofErr w:type="spellStart"/>
      <w:r w:rsidRPr="003D369C">
        <w:rPr>
          <w:color w:val="000000"/>
        </w:rPr>
        <w:t>фениленфенолятным</w:t>
      </w:r>
      <w:proofErr w:type="spellEnd"/>
      <w:r w:rsidRPr="003D369C">
        <w:rPr>
          <w:color w:val="000000"/>
        </w:rPr>
        <w:t xml:space="preserve">) </w:t>
      </w:r>
      <w:proofErr w:type="spellStart"/>
      <w:r w:rsidRPr="003D369C">
        <w:rPr>
          <w:color w:val="000000"/>
        </w:rPr>
        <w:t>лигандом</w:t>
      </w:r>
      <w:proofErr w:type="spellEnd"/>
      <w:r w:rsidRPr="003D369C">
        <w:rPr>
          <w:color w:val="000000"/>
        </w:rPr>
        <w:t xml:space="preserve">. Эти катализаторы позволяют получать изотактический поли(2-винилпиридин) с высочайшей </w:t>
      </w:r>
      <w:proofErr w:type="spellStart"/>
      <w:r w:rsidRPr="003D369C">
        <w:rPr>
          <w:color w:val="000000"/>
        </w:rPr>
        <w:t>изоселективностью</w:t>
      </w:r>
      <w:proofErr w:type="spellEnd"/>
      <w:r w:rsidRPr="003D369C">
        <w:rPr>
          <w:color w:val="000000"/>
        </w:rPr>
        <w:t xml:space="preserve"> (</w:t>
      </w:r>
      <w:proofErr w:type="spellStart"/>
      <w:r w:rsidRPr="003D369C">
        <w:rPr>
          <w:color w:val="000000"/>
        </w:rPr>
        <w:t>P</w:t>
      </w:r>
      <w:r w:rsidRPr="00392E00">
        <w:rPr>
          <w:color w:val="000000"/>
          <w:vertAlign w:val="subscript"/>
        </w:rPr>
        <w:t>m</w:t>
      </w:r>
      <w:proofErr w:type="spellEnd"/>
      <w:r w:rsidRPr="003D369C">
        <w:rPr>
          <w:color w:val="000000"/>
        </w:rPr>
        <w:t xml:space="preserve"> </w:t>
      </w:r>
      <w:r w:rsidR="008A79A8" w:rsidRPr="00F02209">
        <w:rPr>
          <w:color w:val="000000"/>
        </w:rPr>
        <w:t>&gt;</w:t>
      </w:r>
      <w:r w:rsidRPr="003D369C">
        <w:rPr>
          <w:color w:val="000000"/>
        </w:rPr>
        <w:t xml:space="preserve">0,99) и преимущественно </w:t>
      </w:r>
      <w:proofErr w:type="spellStart"/>
      <w:r w:rsidRPr="003D369C">
        <w:rPr>
          <w:color w:val="000000"/>
        </w:rPr>
        <w:t>синдио</w:t>
      </w:r>
      <w:proofErr w:type="spellEnd"/>
      <w:r w:rsidRPr="003D369C">
        <w:rPr>
          <w:color w:val="000000"/>
        </w:rPr>
        <w:t>-обогащенный (</w:t>
      </w:r>
      <w:proofErr w:type="spellStart"/>
      <w:r w:rsidRPr="003D369C">
        <w:rPr>
          <w:color w:val="000000"/>
        </w:rPr>
        <w:t>P</w:t>
      </w:r>
      <w:r w:rsidRPr="00392E00">
        <w:rPr>
          <w:color w:val="000000"/>
          <w:vertAlign w:val="subscript"/>
        </w:rPr>
        <w:t>m</w:t>
      </w:r>
      <w:proofErr w:type="spellEnd"/>
      <w:r w:rsidRPr="003D369C">
        <w:rPr>
          <w:color w:val="000000"/>
        </w:rPr>
        <w:t xml:space="preserve"> = 0,25</w:t>
      </w:r>
      <w:r w:rsidR="00A966B5">
        <w:rPr>
          <w:color w:val="000000"/>
        </w:rPr>
        <w:t>–</w:t>
      </w:r>
      <w:r w:rsidRPr="003D369C">
        <w:rPr>
          <w:color w:val="000000"/>
        </w:rPr>
        <w:t>0,45) поли(β-</w:t>
      </w:r>
      <w:proofErr w:type="spellStart"/>
      <w:r w:rsidRPr="003D369C">
        <w:rPr>
          <w:color w:val="000000"/>
        </w:rPr>
        <w:t>гидроксибутират</w:t>
      </w:r>
      <w:proofErr w:type="spellEnd"/>
      <w:r w:rsidRPr="003D369C">
        <w:rPr>
          <w:color w:val="000000"/>
        </w:rPr>
        <w:t xml:space="preserve">). Отличительной особенностью этих катализаторов является их способность </w:t>
      </w:r>
      <w:r w:rsidR="00BE54A3">
        <w:rPr>
          <w:color w:val="000000"/>
        </w:rPr>
        <w:t>осуществлять</w:t>
      </w:r>
      <w:r w:rsidR="00BE54A3" w:rsidRPr="003D369C">
        <w:rPr>
          <w:color w:val="000000"/>
        </w:rPr>
        <w:t xml:space="preserve"> </w:t>
      </w:r>
      <w:r w:rsidRPr="003D369C">
        <w:rPr>
          <w:color w:val="000000"/>
        </w:rPr>
        <w:t>блок-</w:t>
      </w:r>
      <w:proofErr w:type="spellStart"/>
      <w:r w:rsidRPr="003D369C">
        <w:rPr>
          <w:color w:val="000000"/>
        </w:rPr>
        <w:t>сополимеризаци</w:t>
      </w:r>
      <w:r w:rsidR="00BE54A3">
        <w:rPr>
          <w:color w:val="000000"/>
        </w:rPr>
        <w:t>ю</w:t>
      </w:r>
      <w:proofErr w:type="spellEnd"/>
      <w:r w:rsidRPr="003D369C">
        <w:rPr>
          <w:color w:val="000000"/>
        </w:rPr>
        <w:t xml:space="preserve"> 2-винилпиридина и рацемического β-</w:t>
      </w:r>
      <w:proofErr w:type="spellStart"/>
      <w:r w:rsidRPr="003D369C">
        <w:rPr>
          <w:color w:val="000000"/>
        </w:rPr>
        <w:t>бутиролактона</w:t>
      </w:r>
      <w:proofErr w:type="spellEnd"/>
      <w:r w:rsidRPr="003D369C">
        <w:rPr>
          <w:color w:val="000000"/>
        </w:rPr>
        <w:t>. Таким образом, впервые был получен широкий спектр блок-сополимеров поли(2-винилпиридин)-бл</w:t>
      </w:r>
      <w:r w:rsidR="00392E00">
        <w:rPr>
          <w:color w:val="000000"/>
        </w:rPr>
        <w:t>ок-поли(β-</w:t>
      </w:r>
      <w:proofErr w:type="spellStart"/>
      <w:r w:rsidR="00392E00">
        <w:rPr>
          <w:color w:val="000000"/>
        </w:rPr>
        <w:t>гидроксибутират</w:t>
      </w:r>
      <w:proofErr w:type="spellEnd"/>
      <w:r w:rsidR="00392E00">
        <w:rPr>
          <w:color w:val="000000"/>
        </w:rPr>
        <w:t>) (</w:t>
      </w:r>
      <w:proofErr w:type="spellStart"/>
      <w:r w:rsidR="00392E00">
        <w:rPr>
          <w:color w:val="000000"/>
        </w:rPr>
        <w:t>M</w:t>
      </w:r>
      <w:r w:rsidR="00392E00" w:rsidRPr="00392E00">
        <w:rPr>
          <w:color w:val="000000"/>
          <w:vertAlign w:val="subscript"/>
        </w:rPr>
        <w:t>n</w:t>
      </w:r>
      <w:proofErr w:type="spellEnd"/>
      <w:r w:rsidR="00392E00">
        <w:rPr>
          <w:color w:val="000000"/>
        </w:rPr>
        <w:t xml:space="preserve"> </w:t>
      </w:r>
      <w:r w:rsidRPr="003D369C">
        <w:rPr>
          <w:color w:val="000000"/>
        </w:rPr>
        <w:t>= 40</w:t>
      </w:r>
      <w:r w:rsidR="00A966B5">
        <w:rPr>
          <w:color w:val="000000"/>
        </w:rPr>
        <w:t>–</w:t>
      </w:r>
      <w:r w:rsidR="009B3429">
        <w:rPr>
          <w:color w:val="000000"/>
        </w:rPr>
        <w:t>120 </w:t>
      </w:r>
      <w:proofErr w:type="spellStart"/>
      <w:r w:rsidRPr="003D369C">
        <w:rPr>
          <w:color w:val="000000"/>
        </w:rPr>
        <w:t>кДа</w:t>
      </w:r>
      <w:proofErr w:type="spellEnd"/>
      <w:r w:rsidRPr="003D369C">
        <w:rPr>
          <w:color w:val="000000"/>
        </w:rPr>
        <w:t xml:space="preserve">), которые затем были использованы для получения стабильных </w:t>
      </w:r>
      <w:proofErr w:type="spellStart"/>
      <w:r w:rsidRPr="003D369C">
        <w:rPr>
          <w:color w:val="000000"/>
        </w:rPr>
        <w:t>наночастиц</w:t>
      </w:r>
      <w:proofErr w:type="spellEnd"/>
      <w:r w:rsidRPr="003D369C">
        <w:rPr>
          <w:color w:val="000000"/>
        </w:rPr>
        <w:t xml:space="preserve"> золота.</w:t>
      </w:r>
    </w:p>
    <w:p w14:paraId="792B20F8" w14:textId="77777777" w:rsidR="003D369C" w:rsidRPr="003D369C" w:rsidRDefault="003D369C" w:rsidP="003D3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C32139B" w14:textId="604D7C1F" w:rsidR="003D369C" w:rsidRPr="00A2285A" w:rsidRDefault="003D369C" w:rsidP="003D3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Pr="00A2285A">
        <w:rPr>
          <w:color w:val="000000"/>
          <w:lang w:val="en-US"/>
        </w:rPr>
        <w:t xml:space="preserve"> </w:t>
      </w:r>
      <w:proofErr w:type="spellStart"/>
      <w:r w:rsidRPr="00A2285A">
        <w:rPr>
          <w:color w:val="000000"/>
          <w:lang w:val="en-US"/>
        </w:rPr>
        <w:t>Kennemur</w:t>
      </w:r>
      <w:proofErr w:type="spellEnd"/>
      <w:r w:rsidRPr="00A2285A">
        <w:rPr>
          <w:color w:val="000000"/>
          <w:lang w:val="en-US"/>
        </w:rPr>
        <w:t>, J. G. Poly(</w:t>
      </w:r>
      <w:proofErr w:type="spellStart"/>
      <w:r w:rsidRPr="00A2285A">
        <w:rPr>
          <w:color w:val="000000"/>
          <w:lang w:val="en-US"/>
        </w:rPr>
        <w:t>Vinylpyridine</w:t>
      </w:r>
      <w:proofErr w:type="spellEnd"/>
      <w:r w:rsidRPr="00A2285A">
        <w:rPr>
          <w:color w:val="000000"/>
          <w:lang w:val="en-US"/>
        </w:rPr>
        <w:t>) Segments in Block Copolymers: Synthesis,</w:t>
      </w:r>
      <w:r w:rsidR="00A966B5">
        <w:rPr>
          <w:color w:val="000000"/>
          <w:lang w:val="en-US"/>
        </w:rPr>
        <w:t xml:space="preserve"> Self-Assembly, and Versatility. //</w:t>
      </w:r>
      <w:r w:rsidRPr="00A2285A">
        <w:rPr>
          <w:color w:val="000000"/>
          <w:lang w:val="en-US"/>
        </w:rPr>
        <w:t xml:space="preserve"> Macromol</w:t>
      </w:r>
      <w:r w:rsidR="007A6334">
        <w:rPr>
          <w:color w:val="000000"/>
          <w:lang w:val="en-US"/>
        </w:rPr>
        <w:t>ecules 2019, 52 (4), 1354–1370.</w:t>
      </w:r>
    </w:p>
    <w:p w14:paraId="382705A3" w14:textId="3347B091" w:rsidR="003D369C" w:rsidRPr="00A2285A" w:rsidRDefault="003D369C" w:rsidP="003D3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Pr="00A2285A">
        <w:rPr>
          <w:color w:val="000000"/>
          <w:lang w:val="en-US"/>
        </w:rPr>
        <w:t xml:space="preserve"> </w:t>
      </w:r>
      <w:proofErr w:type="spellStart"/>
      <w:r w:rsidRPr="00A2285A">
        <w:rPr>
          <w:color w:val="000000"/>
          <w:lang w:val="en-US"/>
        </w:rPr>
        <w:t>Bruckmoser</w:t>
      </w:r>
      <w:proofErr w:type="spellEnd"/>
      <w:r w:rsidRPr="00A2285A">
        <w:rPr>
          <w:color w:val="000000"/>
          <w:lang w:val="en-US"/>
        </w:rPr>
        <w:t xml:space="preserve">, J.; </w:t>
      </w:r>
      <w:proofErr w:type="spellStart"/>
      <w:r w:rsidRPr="00A2285A">
        <w:rPr>
          <w:color w:val="000000"/>
          <w:lang w:val="en-US"/>
        </w:rPr>
        <w:t>Pongratz</w:t>
      </w:r>
      <w:proofErr w:type="spellEnd"/>
      <w:r w:rsidRPr="00A2285A">
        <w:rPr>
          <w:color w:val="000000"/>
          <w:lang w:val="en-US"/>
        </w:rPr>
        <w:t xml:space="preserve">, S.; Stieglitz, L.; </w:t>
      </w:r>
      <w:proofErr w:type="spellStart"/>
      <w:r w:rsidRPr="00A2285A">
        <w:rPr>
          <w:color w:val="000000"/>
          <w:lang w:val="en-US"/>
        </w:rPr>
        <w:t>Rieger</w:t>
      </w:r>
      <w:proofErr w:type="spellEnd"/>
      <w:r w:rsidRPr="00A2285A">
        <w:rPr>
          <w:color w:val="000000"/>
          <w:lang w:val="en-US"/>
        </w:rPr>
        <w:t xml:space="preserve">, B. Highly </w:t>
      </w:r>
      <w:proofErr w:type="spellStart"/>
      <w:r w:rsidRPr="00A2285A">
        <w:rPr>
          <w:color w:val="000000"/>
          <w:lang w:val="en-US"/>
        </w:rPr>
        <w:t>Isoselective</w:t>
      </w:r>
      <w:proofErr w:type="spellEnd"/>
      <w:r w:rsidRPr="00A2285A">
        <w:rPr>
          <w:color w:val="000000"/>
          <w:lang w:val="en-US"/>
        </w:rPr>
        <w:t xml:space="preserve"> Ring-Opening Polymerization of </w:t>
      </w:r>
      <w:proofErr w:type="spellStart"/>
      <w:r w:rsidRPr="00A2285A">
        <w:rPr>
          <w:color w:val="000000"/>
          <w:lang w:val="en-US"/>
        </w:rPr>
        <w:t>Rac</w:t>
      </w:r>
      <w:proofErr w:type="spellEnd"/>
      <w:r w:rsidRPr="00A2285A">
        <w:rPr>
          <w:color w:val="000000"/>
          <w:lang w:val="en-US"/>
        </w:rPr>
        <w:t>-β-</w:t>
      </w:r>
      <w:proofErr w:type="spellStart"/>
      <w:r w:rsidRPr="00A2285A">
        <w:rPr>
          <w:color w:val="000000"/>
          <w:lang w:val="en-US"/>
        </w:rPr>
        <w:t>Butyrolactone</w:t>
      </w:r>
      <w:proofErr w:type="spellEnd"/>
      <w:r w:rsidRPr="00A2285A">
        <w:rPr>
          <w:color w:val="000000"/>
          <w:lang w:val="en-US"/>
        </w:rPr>
        <w:t>: Access to Synthetic Poly(3-Hydroxybutyrate) with Polyolefin-like Material Properties.</w:t>
      </w:r>
      <w:r w:rsidR="00A966B5">
        <w:rPr>
          <w:color w:val="000000"/>
          <w:lang w:val="en-US"/>
        </w:rPr>
        <w:t xml:space="preserve"> //</w:t>
      </w:r>
      <w:r w:rsidRPr="00A2285A">
        <w:rPr>
          <w:color w:val="000000"/>
          <w:lang w:val="en-US"/>
        </w:rPr>
        <w:t xml:space="preserve"> J. Am. Chem. So</w:t>
      </w:r>
      <w:r w:rsidR="007A6334">
        <w:rPr>
          <w:color w:val="000000"/>
          <w:lang w:val="en-US"/>
        </w:rPr>
        <w:t>c. 2023, 145 (21), 11494–11498.</w:t>
      </w:r>
    </w:p>
    <w:p w14:paraId="4C10205F" w14:textId="3E9027D6" w:rsidR="003D369C" w:rsidRPr="00A2285A" w:rsidRDefault="003D369C" w:rsidP="003D3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3.</w:t>
      </w:r>
      <w:r w:rsidRPr="00A2285A">
        <w:rPr>
          <w:color w:val="000000"/>
          <w:lang w:val="en-US"/>
        </w:rPr>
        <w:t xml:space="preserve"> </w:t>
      </w:r>
      <w:proofErr w:type="spellStart"/>
      <w:r w:rsidRPr="00A2285A">
        <w:rPr>
          <w:color w:val="000000"/>
          <w:lang w:val="en-US"/>
        </w:rPr>
        <w:t>Kränzlein</w:t>
      </w:r>
      <w:proofErr w:type="spellEnd"/>
      <w:r w:rsidRPr="00A2285A">
        <w:rPr>
          <w:color w:val="000000"/>
          <w:lang w:val="en-US"/>
        </w:rPr>
        <w:t xml:space="preserve">, M.; </w:t>
      </w:r>
      <w:proofErr w:type="spellStart"/>
      <w:r w:rsidRPr="00A2285A">
        <w:rPr>
          <w:color w:val="000000"/>
          <w:lang w:val="en-US"/>
        </w:rPr>
        <w:t>Pehl</w:t>
      </w:r>
      <w:proofErr w:type="spellEnd"/>
      <w:r w:rsidRPr="00A2285A">
        <w:rPr>
          <w:color w:val="000000"/>
          <w:lang w:val="en-US"/>
        </w:rPr>
        <w:t xml:space="preserve">, T. M.; Adams, F.; </w:t>
      </w:r>
      <w:proofErr w:type="spellStart"/>
      <w:r w:rsidRPr="00A2285A">
        <w:rPr>
          <w:color w:val="000000"/>
          <w:lang w:val="en-US"/>
        </w:rPr>
        <w:t>Rieger</w:t>
      </w:r>
      <w:proofErr w:type="spellEnd"/>
      <w:r w:rsidRPr="00A2285A">
        <w:rPr>
          <w:color w:val="000000"/>
          <w:lang w:val="en-US"/>
        </w:rPr>
        <w:t>, B. Uniting Group-Transfer and Ring-Opening Polymerization-Block Copolymers from Functional Mich</w:t>
      </w:r>
      <w:r w:rsidR="00A966B5">
        <w:rPr>
          <w:color w:val="000000"/>
          <w:lang w:val="en-US"/>
        </w:rPr>
        <w:t xml:space="preserve">ael-Type Monomers and Lactones. // </w:t>
      </w:r>
      <w:r w:rsidRPr="00A2285A">
        <w:rPr>
          <w:color w:val="000000"/>
          <w:lang w:val="en-US"/>
        </w:rPr>
        <w:t>Macromolecules 2021, 54 (23), 10860–10869.</w:t>
      </w:r>
    </w:p>
    <w:p w14:paraId="26B53BC0" w14:textId="2A1AC658" w:rsidR="00A2285A" w:rsidRPr="00107AA3" w:rsidRDefault="003D369C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4.</w:t>
      </w:r>
      <w:r w:rsidRPr="00A2285A">
        <w:rPr>
          <w:color w:val="000000"/>
          <w:lang w:val="en-US"/>
        </w:rPr>
        <w:t xml:space="preserve"> </w:t>
      </w:r>
      <w:proofErr w:type="spellStart"/>
      <w:r w:rsidRPr="00A2285A">
        <w:rPr>
          <w:color w:val="000000"/>
          <w:lang w:val="en-US"/>
        </w:rPr>
        <w:t>Altenbuchner</w:t>
      </w:r>
      <w:proofErr w:type="spellEnd"/>
      <w:r w:rsidRPr="00A2285A">
        <w:rPr>
          <w:color w:val="000000"/>
          <w:lang w:val="en-US"/>
        </w:rPr>
        <w:t xml:space="preserve">, P. T.; </w:t>
      </w:r>
      <w:proofErr w:type="spellStart"/>
      <w:r w:rsidRPr="00A2285A">
        <w:rPr>
          <w:color w:val="000000"/>
          <w:lang w:val="en-US"/>
        </w:rPr>
        <w:t>Soller</w:t>
      </w:r>
      <w:proofErr w:type="spellEnd"/>
      <w:r w:rsidRPr="00A2285A">
        <w:rPr>
          <w:color w:val="000000"/>
          <w:lang w:val="en-US"/>
        </w:rPr>
        <w:t xml:space="preserve">, B. S.; </w:t>
      </w:r>
      <w:proofErr w:type="spellStart"/>
      <w:r w:rsidRPr="00A2285A">
        <w:rPr>
          <w:color w:val="000000"/>
          <w:lang w:val="en-US"/>
        </w:rPr>
        <w:t>Kissling</w:t>
      </w:r>
      <w:proofErr w:type="spellEnd"/>
      <w:r w:rsidRPr="00A2285A">
        <w:rPr>
          <w:color w:val="000000"/>
          <w:lang w:val="en-US"/>
        </w:rPr>
        <w:t xml:space="preserve">, S.; Bachmann, T.; </w:t>
      </w:r>
      <w:proofErr w:type="spellStart"/>
      <w:r w:rsidRPr="00A2285A">
        <w:rPr>
          <w:color w:val="000000"/>
          <w:lang w:val="en-US"/>
        </w:rPr>
        <w:t>Kronast</w:t>
      </w:r>
      <w:proofErr w:type="spellEnd"/>
      <w:r w:rsidRPr="00A2285A">
        <w:rPr>
          <w:color w:val="000000"/>
          <w:lang w:val="en-US"/>
        </w:rPr>
        <w:t xml:space="preserve">, A.; </w:t>
      </w:r>
      <w:proofErr w:type="spellStart"/>
      <w:r w:rsidRPr="00A2285A">
        <w:rPr>
          <w:color w:val="000000"/>
          <w:lang w:val="en-US"/>
        </w:rPr>
        <w:t>Vagin</w:t>
      </w:r>
      <w:proofErr w:type="spellEnd"/>
      <w:r w:rsidRPr="00A2285A">
        <w:rPr>
          <w:color w:val="000000"/>
          <w:lang w:val="en-US"/>
        </w:rPr>
        <w:t xml:space="preserve">, S. I.; </w:t>
      </w:r>
      <w:proofErr w:type="spellStart"/>
      <w:r w:rsidRPr="00A2285A">
        <w:rPr>
          <w:color w:val="000000"/>
          <w:lang w:val="en-US"/>
        </w:rPr>
        <w:t>Rieger</w:t>
      </w:r>
      <w:proofErr w:type="spellEnd"/>
      <w:r w:rsidRPr="00A2285A">
        <w:rPr>
          <w:color w:val="000000"/>
          <w:lang w:val="en-US"/>
        </w:rPr>
        <w:t>, B. Versatile 2-Methoxyethylaminobis(</w:t>
      </w:r>
      <w:proofErr w:type="spellStart"/>
      <w:r w:rsidRPr="00A2285A">
        <w:rPr>
          <w:color w:val="000000"/>
          <w:lang w:val="en-US"/>
        </w:rPr>
        <w:t>Phenolate</w:t>
      </w:r>
      <w:proofErr w:type="spellEnd"/>
      <w:r w:rsidRPr="00A2285A">
        <w:rPr>
          <w:color w:val="000000"/>
          <w:lang w:val="en-US"/>
        </w:rPr>
        <w:t>)Yttrium Catalysts: Catalytic Precision Polymerization of Polar Monomers via Rare Earth Metal-Mediated Group Transfer Polymerization.</w:t>
      </w:r>
      <w:r w:rsidR="00A966B5">
        <w:rPr>
          <w:color w:val="000000"/>
          <w:lang w:val="en-US"/>
        </w:rPr>
        <w:t xml:space="preserve"> //</w:t>
      </w:r>
      <w:r w:rsidRPr="00A2285A">
        <w:rPr>
          <w:color w:val="000000"/>
          <w:lang w:val="en-US"/>
        </w:rPr>
        <w:t xml:space="preserve"> Macromole</w:t>
      </w:r>
      <w:r w:rsidR="007A6334">
        <w:rPr>
          <w:color w:val="000000"/>
          <w:lang w:val="en-US"/>
        </w:rPr>
        <w:t>cules</w:t>
      </w:r>
      <w:r w:rsidR="007A6334" w:rsidRPr="00A966B5">
        <w:rPr>
          <w:color w:val="000000"/>
          <w:lang w:val="en-US"/>
        </w:rPr>
        <w:t xml:space="preserve"> 2014, 47 (22), 7742–7749.</w:t>
      </w:r>
    </w:p>
    <w:sectPr w:rsidR="00A2285A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48C5"/>
    <w:rsid w:val="00116478"/>
    <w:rsid w:val="00130241"/>
    <w:rsid w:val="001D3BAB"/>
    <w:rsid w:val="001E61C2"/>
    <w:rsid w:val="001F0493"/>
    <w:rsid w:val="0022260A"/>
    <w:rsid w:val="002264EE"/>
    <w:rsid w:val="0023307C"/>
    <w:rsid w:val="0031361E"/>
    <w:rsid w:val="00391C38"/>
    <w:rsid w:val="00392E00"/>
    <w:rsid w:val="003B76D6"/>
    <w:rsid w:val="003D369C"/>
    <w:rsid w:val="003E2601"/>
    <w:rsid w:val="003F4E6B"/>
    <w:rsid w:val="004A26A3"/>
    <w:rsid w:val="004E0875"/>
    <w:rsid w:val="004F0EDF"/>
    <w:rsid w:val="004F1510"/>
    <w:rsid w:val="0050025A"/>
    <w:rsid w:val="00522BF1"/>
    <w:rsid w:val="00563EAD"/>
    <w:rsid w:val="00590166"/>
    <w:rsid w:val="005A0C20"/>
    <w:rsid w:val="005D022B"/>
    <w:rsid w:val="005E5BE9"/>
    <w:rsid w:val="006233CF"/>
    <w:rsid w:val="0069427D"/>
    <w:rsid w:val="006F7A19"/>
    <w:rsid w:val="007213E1"/>
    <w:rsid w:val="00775389"/>
    <w:rsid w:val="00791C36"/>
    <w:rsid w:val="00794D6D"/>
    <w:rsid w:val="00797838"/>
    <w:rsid w:val="007A6334"/>
    <w:rsid w:val="007C36D8"/>
    <w:rsid w:val="007F2744"/>
    <w:rsid w:val="008931BE"/>
    <w:rsid w:val="008A79A8"/>
    <w:rsid w:val="008C67E3"/>
    <w:rsid w:val="00914205"/>
    <w:rsid w:val="00921D45"/>
    <w:rsid w:val="009426C0"/>
    <w:rsid w:val="00980A65"/>
    <w:rsid w:val="009A66DB"/>
    <w:rsid w:val="009B2F80"/>
    <w:rsid w:val="009B3300"/>
    <w:rsid w:val="009B3429"/>
    <w:rsid w:val="009F3380"/>
    <w:rsid w:val="00A02163"/>
    <w:rsid w:val="00A2285A"/>
    <w:rsid w:val="00A314FE"/>
    <w:rsid w:val="00A966B5"/>
    <w:rsid w:val="00AD7380"/>
    <w:rsid w:val="00BE54A3"/>
    <w:rsid w:val="00BF36F8"/>
    <w:rsid w:val="00BF4622"/>
    <w:rsid w:val="00C11629"/>
    <w:rsid w:val="00C844E2"/>
    <w:rsid w:val="00C923EC"/>
    <w:rsid w:val="00CC3217"/>
    <w:rsid w:val="00CD00B1"/>
    <w:rsid w:val="00D22306"/>
    <w:rsid w:val="00D42542"/>
    <w:rsid w:val="00D8121C"/>
    <w:rsid w:val="00E06ABC"/>
    <w:rsid w:val="00E22189"/>
    <w:rsid w:val="00E5028D"/>
    <w:rsid w:val="00E74069"/>
    <w:rsid w:val="00E81D35"/>
    <w:rsid w:val="00EB1F49"/>
    <w:rsid w:val="00F02209"/>
    <w:rsid w:val="00F656B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DD9412-998B-41E5-973C-6C20AD87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kaneli</dc:creator>
  <cp:lastModifiedBy>Georgy Goryunov</cp:lastModifiedBy>
  <cp:revision>3</cp:revision>
  <dcterms:created xsi:type="dcterms:W3CDTF">2025-03-01T16:44:00Z</dcterms:created>
  <dcterms:modified xsi:type="dcterms:W3CDTF">2025-03-01T16:45:00Z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