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8F730" w14:textId="211B4D3D" w:rsidR="00C00595" w:rsidRPr="00C00595" w:rsidRDefault="00C00595" w:rsidP="00C0059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lang w:val="ru-RU" w:eastAsia="ru-RU"/>
        </w:rPr>
      </w:pPr>
      <w:proofErr w:type="spellStart"/>
      <w:r w:rsidRPr="00C005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val="ru-RU" w:eastAsia="ru-RU"/>
        </w:rPr>
        <w:t>Твёрдотельные</w:t>
      </w:r>
      <w:proofErr w:type="spellEnd"/>
      <w:r w:rsidRPr="00C005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val="ru-RU" w:eastAsia="ru-RU"/>
        </w:rPr>
        <w:t xml:space="preserve"> полимерные электролиты на основе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val="ru-RU" w:eastAsia="ru-RU"/>
        </w:rPr>
        <w:t xml:space="preserve">комплексов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val="ru-RU" w:eastAsia="ru-RU"/>
        </w:rPr>
        <w:t>полиакрилата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val="ru-RU" w:eastAsia="ru-RU"/>
        </w:rPr>
        <w:t xml:space="preserve"> лития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val="ru-RU" w:eastAsia="ru-RU"/>
        </w:rPr>
        <w:t>полиэтиленоксида</w:t>
      </w:r>
      <w:proofErr w:type="spellEnd"/>
      <w:r w:rsidRPr="00C005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val="ru-RU" w:eastAsia="ru-RU"/>
        </w:rPr>
        <w:t>.</w:t>
      </w:r>
    </w:p>
    <w:p w14:paraId="6CCFA7EE" w14:textId="77777777" w:rsidR="00C00595" w:rsidRPr="00C00595" w:rsidRDefault="00C00595" w:rsidP="00C0059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  <w:r w:rsidRPr="00C00595">
        <w:rPr>
          <w:rFonts w:ascii="Times New Roman" w:eastAsia="Times New Roman" w:hAnsi="Times New Roman" w:cs="Times New Roman"/>
          <w:b/>
          <w:color w:val="000000"/>
          <w:kern w:val="0"/>
          <w:sz w:val="24"/>
          <w:lang w:val="ru-RU" w:eastAsia="ru-RU"/>
        </w:rPr>
        <w:t xml:space="preserve"> </w:t>
      </w:r>
    </w:p>
    <w:p w14:paraId="756A37D7" w14:textId="5BEBD605" w:rsidR="00C00595" w:rsidRPr="00C00595" w:rsidRDefault="00C00595" w:rsidP="00C0059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u w:val="single"/>
          <w:lang w:val="ru-RU" w:eastAsia="ru-RU"/>
        </w:rPr>
        <w:t>Чэнь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u w:val="single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u w:val="single"/>
          <w:lang w:val="ru-RU" w:eastAsia="ru-RU"/>
        </w:rPr>
        <w:t>Цзюньян</w:t>
      </w:r>
      <w:proofErr w:type="spellEnd"/>
      <w:r w:rsidRPr="00C00595">
        <w:rPr>
          <w:rFonts w:ascii="Times New Roman" w:eastAsia="Times New Roman" w:hAnsi="Times New Roman" w:cs="Times New Roman"/>
          <w:b/>
          <w:color w:val="000000"/>
          <w:kern w:val="0"/>
          <w:sz w:val="24"/>
          <w:lang w:val="ru-RU" w:eastAsia="ru-RU"/>
        </w:rPr>
        <w:t xml:space="preserve">, </w:t>
      </w:r>
      <w:r w:rsidRPr="00C00595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lang w:val="ru-RU" w:eastAsia="ru-RU"/>
        </w:rPr>
        <w:t xml:space="preserve">Александров Ю.Д., Бабкин А.В. </w:t>
      </w:r>
    </w:p>
    <w:p w14:paraId="06ED1FFB" w14:textId="77777777" w:rsidR="00C00595" w:rsidRPr="00C00595" w:rsidRDefault="00C00595" w:rsidP="00C0059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  <w:r w:rsidRPr="00C00595"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 w:eastAsia="ru-RU"/>
        </w:rPr>
        <w:t xml:space="preserve">Студент, 2 курс магистратуры </w:t>
      </w:r>
    </w:p>
    <w:p w14:paraId="51F090D0" w14:textId="77777777" w:rsidR="00C00595" w:rsidRPr="00C00595" w:rsidRDefault="00C00595" w:rsidP="00C0059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</w:pPr>
      <w:r w:rsidRPr="00C00595"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 w:eastAsia="ru-RU"/>
        </w:rPr>
        <w:t xml:space="preserve">Московский государственный университет имени М.В. Ломоносова, </w:t>
      </w:r>
      <w:r w:rsidRPr="00C00595"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 w:eastAsia="ru-RU"/>
        </w:rPr>
        <w:br/>
        <w:t>химический факультет, Москва, Россия</w:t>
      </w:r>
    </w:p>
    <w:p w14:paraId="14F050FC" w14:textId="242B256E" w:rsidR="00C00595" w:rsidRPr="00C00595" w:rsidRDefault="00C00595" w:rsidP="00C0059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SimSun" w:hAnsi="Times New Roman" w:cs="Times New Roman"/>
          <w:color w:val="000000"/>
          <w:kern w:val="0"/>
          <w:sz w:val="24"/>
        </w:rPr>
      </w:pPr>
      <w:r w:rsidRPr="00C00595">
        <w:rPr>
          <w:rFonts w:ascii="Times New Roman" w:eastAsia="Times New Roman" w:hAnsi="Times New Roman" w:cs="Times New Roman"/>
          <w:i/>
          <w:color w:val="000000"/>
          <w:kern w:val="0"/>
          <w:sz w:val="24"/>
          <w:lang w:eastAsia="ru-RU"/>
        </w:rPr>
        <w:t xml:space="preserve">E-mail: </w:t>
      </w:r>
      <w:r w:rsidRPr="00C00595">
        <w:rPr>
          <w:rFonts w:ascii="Times New Roman" w:eastAsia="Times New Roman" w:hAnsi="Times New Roman" w:cs="Times New Roman"/>
          <w:i/>
          <w:color w:val="000000"/>
          <w:kern w:val="0"/>
          <w:sz w:val="24"/>
          <w:u w:val="single"/>
          <w:lang w:eastAsia="ru-RU"/>
        </w:rPr>
        <w:t>937520564</w:t>
      </w:r>
      <w:r w:rsidRPr="00C00595">
        <w:rPr>
          <w:rFonts w:ascii="Times New Roman" w:eastAsia="SimSun" w:hAnsi="Times New Roman" w:cs="Times New Roman" w:hint="eastAsia"/>
          <w:i/>
          <w:color w:val="000000"/>
          <w:kern w:val="0"/>
          <w:sz w:val="24"/>
          <w:u w:val="single"/>
        </w:rPr>
        <w:t>@qq.com</w:t>
      </w:r>
    </w:p>
    <w:p w14:paraId="2D7EDA3C" w14:textId="23C9AFFE" w:rsidR="00C00595" w:rsidRPr="00C00595" w:rsidRDefault="00C00595" w:rsidP="00C00595">
      <w:pPr>
        <w:ind w:firstLine="420"/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  <w:r w:rsidRPr="00C00595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В последние десятилетия значительный прогресс в области энергетических технологий был достигнут благодаря развитию аккумуляторов, в частности литий-ионных аккумуляторов. Традиционно для этих целей использовались жидкие электролиты на основе органических растворителей, однако с развитием технологий на передний план выходят твердые полимерные электролиты, которые представляют собой обещающий вариант для повышения безопасности и эффективности аккумуляторов.</w:t>
      </w:r>
      <w:r w:rsidRPr="00C00595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Одним из таких полимеров является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полиэтиленоксид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(ПЭО). </w:t>
      </w:r>
    </w:p>
    <w:p w14:paraId="3740F35B" w14:textId="33A4B8AE" w:rsidR="00C00595" w:rsidRDefault="00C00595" w:rsidP="00C00595">
      <w:pPr>
        <w:ind w:firstLine="420"/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  <w:r w:rsidRPr="00C00595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Основной механизм транспорта лития в ПЭО заключается в образовании комплексов между ионами лития и </w:t>
      </w:r>
      <w:proofErr w:type="spellStart"/>
      <w:r w:rsidRPr="00C00595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оксигруппами</w:t>
      </w:r>
      <w:proofErr w:type="spellEnd"/>
      <w:r w:rsidRPr="00C00595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, входящими в структуру полимера. </w:t>
      </w:r>
      <w:proofErr w:type="spellStart"/>
      <w:r w:rsidRPr="00C00595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Оксигруппы</w:t>
      </w:r>
      <w:proofErr w:type="spellEnd"/>
      <w:r w:rsidRPr="00C00595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(-O-) в </w:t>
      </w:r>
      <w:proofErr w:type="spellStart"/>
      <w:r w:rsidRPr="00C00595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этиленоксидных</w:t>
      </w:r>
      <w:proofErr w:type="spellEnd"/>
      <w:r w:rsidRPr="00C00595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звеньях обладают высоким сродством к катионам лития, что позволяет ионам лития связываться с этими группами. В ПЭО ионы лития могут передвигаться не только через растворенные соли, но и непосредственно в самой полимерной цепочке. </w:t>
      </w:r>
      <w:proofErr w:type="spellStart"/>
      <w:r w:rsidRPr="00C00595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Полиэтиленоксид</w:t>
      </w:r>
      <w:proofErr w:type="spellEnd"/>
      <w:r w:rsidRPr="00C00595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создает своего рода «сети» или «каналы», которые обеспечивают направленный и быстрый поток ионов лития, что способствует увеличению проводимости материала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. При этом ПЭО обладает малыми числами переноса ионов лития, эффективно работает только при повышенных температурах, обладает недостаточно хорошими механическими свойствами. Для устранения данных недостатков мы предположили заменить ПЭО на комплексы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полиакрилата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лития с ПЭО для обеспечения лучшей ионной проводимости мембран.</w:t>
      </w:r>
    </w:p>
    <w:p w14:paraId="5B3C844F" w14:textId="1BD15C0C" w:rsidR="00C00595" w:rsidRDefault="00C00595" w:rsidP="00C00595">
      <w:pPr>
        <w:ind w:firstLine="420"/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В ходе нашей работы были получены серии комплексов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полиакрилата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лития и полиакриловой кислоты с различными соотношениями полимеров, различными степенями нейтрализации полиакриловой кислоты, а также с различными степенями полимеризации ПЭО. Были установлены составы смесей, позволяющие осуществить модификацию стеклянных сепараторов для создания аккумуляторов, обладающих улучшенными </w:t>
      </w:r>
      <w:r w:rsidR="00A434DB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механическими, ион-проводящими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характеристиками по сравнению с аккумуляторами на основе индивидуального ПЭО.</w:t>
      </w:r>
    </w:p>
    <w:p w14:paraId="0077F18E" w14:textId="77777777" w:rsidR="00A434DB" w:rsidRPr="00A434DB" w:rsidRDefault="00A434DB" w:rsidP="00A434D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left"/>
        <w:rPr>
          <w:rFonts w:ascii="Times New Roman" w:eastAsia="Times New Roman" w:hAnsi="Times New Roman" w:cs="Times New Roman"/>
          <w:bCs/>
          <w:color w:val="000000"/>
          <w:kern w:val="0"/>
          <w:sz w:val="24"/>
          <w:lang w:val="ru-RU" w:eastAsia="ru-RU"/>
        </w:rPr>
      </w:pPr>
    </w:p>
    <w:p w14:paraId="147A8691" w14:textId="77777777" w:rsidR="00A434DB" w:rsidRPr="00A434DB" w:rsidRDefault="00A434DB" w:rsidP="00A434D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rFonts w:ascii="Times New Roman" w:eastAsia="Times New Roman" w:hAnsi="Times New Roman" w:cs="Times New Roman"/>
          <w:bCs/>
          <w:color w:val="000000"/>
          <w:kern w:val="0"/>
          <w:sz w:val="24"/>
          <w:lang w:val="ru-RU" w:eastAsia="ru-RU"/>
        </w:rPr>
      </w:pPr>
      <w:r w:rsidRPr="00A434DB">
        <w:rPr>
          <w:rFonts w:ascii="Times New Roman" w:eastAsia="Times New Roman" w:hAnsi="Times New Roman" w:cs="Times New Roman"/>
          <w:bCs/>
          <w:color w:val="000000"/>
          <w:kern w:val="0"/>
          <w:sz w:val="24"/>
          <w:lang w:val="ru-RU" w:eastAsia="ru-RU"/>
        </w:rPr>
        <w:t>Работа выполнена по госбюджетной тематике НИР (номер ЦИТИС: 121031300084-1)</w:t>
      </w:r>
    </w:p>
    <w:sectPr w:rsidR="00A434DB" w:rsidRPr="00A43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B71DBA3"/>
    <w:multiLevelType w:val="singleLevel"/>
    <w:tmpl w:val="BB71DBA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7E2E69C2"/>
    <w:multiLevelType w:val="singleLevel"/>
    <w:tmpl w:val="7E2E69C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4A3017"/>
    <w:rsid w:val="001E353F"/>
    <w:rsid w:val="00A434DB"/>
    <w:rsid w:val="00A4732C"/>
    <w:rsid w:val="00C00595"/>
    <w:rsid w:val="1E4A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EA2C664-C0E2-4CCB-B224-53DA26B2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波澜此时海、</dc:creator>
  <cp:lastModifiedBy>Andrey</cp:lastModifiedBy>
  <cp:revision>3</cp:revision>
  <dcterms:created xsi:type="dcterms:W3CDTF">2025-03-03T14:40:00Z</dcterms:created>
  <dcterms:modified xsi:type="dcterms:W3CDTF">2025-03-03T14:53:00Z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E70A143004BA4C2883491FEBB0832533_11</vt:lpwstr>
  </property>
  <property fmtid="{D5CDD505-2E9C-101B-9397-08002B2CF9AE}" pid="4" name="KSOTemplateDocerSaveRecord">
    <vt:lpwstr>eyJoZGlkIjoiZTg3OWRlZTI2ZGM2OGFkMjE0NjQ4YWQzNWRlNzllYTYiLCJ1c2VySWQiOiI4NTc3NzIzOTUifQ==</vt:lpwstr>
  </property>
</Properties>
</file>