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198EDC8" w:rsidR="00130241" w:rsidRDefault="007343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Гребнеобразные полимерные носители лекарств на основе диальдегидкарбоксиметилцеллюлозы</w:t>
      </w:r>
    </w:p>
    <w:p w14:paraId="00000002" w14:textId="3555FD76" w:rsidR="00130241" w:rsidRPr="007D7A24" w:rsidRDefault="007343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Мясникова М.Е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Костандян Е.С</w:t>
      </w:r>
      <w:r w:rsidR="00EB1F49">
        <w:rPr>
          <w:b/>
          <w:i/>
          <w:color w:val="000000"/>
        </w:rPr>
        <w:t>.</w:t>
      </w:r>
      <w:r w:rsidR="007D7A24">
        <w:rPr>
          <w:b/>
          <w:i/>
          <w:color w:val="000000"/>
        </w:rPr>
        <w:t xml:space="preserve">, </w:t>
      </w:r>
      <w:r w:rsidR="007D7A24" w:rsidRPr="007D7A24">
        <w:rPr>
          <w:b/>
          <w:i/>
          <w:color w:val="000000"/>
        </w:rPr>
        <w:t>Серегина</w:t>
      </w:r>
      <w:r w:rsidR="007D7A24">
        <w:rPr>
          <w:b/>
          <w:i/>
          <w:color w:val="000000"/>
        </w:rPr>
        <w:t xml:space="preserve"> Т.С., </w:t>
      </w:r>
      <w:r w:rsidR="004E6628">
        <w:rPr>
          <w:b/>
          <w:i/>
          <w:color w:val="000000"/>
        </w:rPr>
        <w:t>Дятлов В.А.</w:t>
      </w:r>
    </w:p>
    <w:p w14:paraId="0B7843A9" w14:textId="77777777" w:rsidR="007D7A24" w:rsidRDefault="00734399" w:rsidP="007D7A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3 курс бакалавриата</w:t>
      </w:r>
    </w:p>
    <w:p w14:paraId="2FEC2C50" w14:textId="77777777" w:rsidR="00A374EF" w:rsidRDefault="007D7A24" w:rsidP="007D7A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Российский химико-технологический университет им</w:t>
      </w:r>
      <w:r w:rsidR="00A374EF">
        <w:rPr>
          <w:i/>
          <w:color w:val="000000"/>
        </w:rPr>
        <w:t>ени</w:t>
      </w:r>
      <w:r>
        <w:rPr>
          <w:i/>
          <w:color w:val="000000"/>
        </w:rPr>
        <w:t xml:space="preserve"> Д.И. Менделеева</w:t>
      </w:r>
      <w:r w:rsidR="00EB1F49">
        <w:rPr>
          <w:i/>
          <w:color w:val="000000"/>
        </w:rPr>
        <w:t>,</w:t>
      </w:r>
    </w:p>
    <w:p w14:paraId="00000005" w14:textId="700F85B0" w:rsidR="00130241" w:rsidRPr="000E334E" w:rsidRDefault="00A374EF" w:rsidP="007D7A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374EF">
        <w:rPr>
          <w:i/>
          <w:color w:val="000000"/>
        </w:rPr>
        <w:t>факультет нефтегазохимии и полимерных материалов,</w:t>
      </w:r>
      <w:r>
        <w:rPr>
          <w:i/>
          <w:color w:val="000000"/>
        </w:rPr>
        <w:t xml:space="preserve"> </w:t>
      </w:r>
      <w:r w:rsidR="00EB1F49">
        <w:rPr>
          <w:i/>
          <w:color w:val="000000"/>
        </w:rPr>
        <w:t>Москва, Россия</w:t>
      </w:r>
    </w:p>
    <w:p w14:paraId="03223DC9" w14:textId="456F7792" w:rsidR="007C36D8" w:rsidRDefault="00EB1F49" w:rsidP="009659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34399">
        <w:rPr>
          <w:i/>
          <w:color w:val="000000"/>
          <w:lang w:val="en-US"/>
        </w:rPr>
        <w:t>E</w:t>
      </w:r>
      <w:r w:rsidR="003B76D6" w:rsidRPr="00B56443">
        <w:rPr>
          <w:i/>
          <w:color w:val="000000"/>
        </w:rPr>
        <w:t>-</w:t>
      </w:r>
      <w:r w:rsidRPr="00734399">
        <w:rPr>
          <w:i/>
          <w:color w:val="000000"/>
          <w:lang w:val="en-US"/>
        </w:rPr>
        <w:t>mail</w:t>
      </w:r>
      <w:r w:rsidRPr="00B56443">
        <w:rPr>
          <w:i/>
          <w:color w:val="000000"/>
        </w:rPr>
        <w:t xml:space="preserve">: </w:t>
      </w:r>
      <w:r w:rsidR="00734399">
        <w:rPr>
          <w:i/>
          <w:color w:val="000000"/>
          <w:u w:val="single"/>
          <w:lang w:val="en-US"/>
        </w:rPr>
        <w:t>marymyasnikova</w:t>
      </w:r>
      <w:r w:rsidR="00734399" w:rsidRPr="00B56443">
        <w:rPr>
          <w:i/>
          <w:color w:val="000000"/>
          <w:u w:val="single"/>
        </w:rPr>
        <w:t>2002</w:t>
      </w:r>
      <w:r w:rsidRPr="00B56443">
        <w:rPr>
          <w:i/>
          <w:color w:val="000000"/>
          <w:u w:val="single"/>
        </w:rPr>
        <w:t>@</w:t>
      </w:r>
      <w:r w:rsidR="00734399">
        <w:rPr>
          <w:i/>
          <w:color w:val="000000"/>
          <w:u w:val="single"/>
          <w:lang w:val="en-US"/>
        </w:rPr>
        <w:t>mail</w:t>
      </w:r>
      <w:r w:rsidR="00734399" w:rsidRPr="00B56443">
        <w:rPr>
          <w:i/>
          <w:color w:val="000000"/>
          <w:u w:val="single"/>
        </w:rPr>
        <w:t>.</w:t>
      </w:r>
      <w:r w:rsidR="00734399">
        <w:rPr>
          <w:i/>
          <w:color w:val="000000"/>
          <w:u w:val="single"/>
          <w:lang w:val="en-US"/>
        </w:rPr>
        <w:t>ru</w:t>
      </w:r>
    </w:p>
    <w:p w14:paraId="6E4A5757" w14:textId="3497D70C" w:rsidR="00C76F98" w:rsidRPr="007F4EAB" w:rsidRDefault="00C76F98" w:rsidP="003A741E">
      <w:pPr>
        <w:ind w:firstLine="397"/>
        <w:jc w:val="both"/>
      </w:pPr>
      <w:r w:rsidRPr="009659AC">
        <w:t>Современные представления о полимерных носителях лекарств таргетной внутриклеточной доставки предусматривает наличие двух основных функций: во-первых, он должен иметь в своём составе реакционный сайт для связывания физиологически активного ве</w:t>
      </w:r>
      <w:r w:rsidR="009659AC" w:rsidRPr="009659AC">
        <w:t xml:space="preserve">щества, </w:t>
      </w:r>
      <w:r w:rsidRPr="009659AC">
        <w:t xml:space="preserve">во-вторых – </w:t>
      </w:r>
      <w:r w:rsidR="009659AC" w:rsidRPr="009659AC">
        <w:t xml:space="preserve">функциональные группы, </w:t>
      </w:r>
      <w:r w:rsidRPr="009659AC">
        <w:t>обеспечивающие селективное взаимодействие с клеткой-мишенью</w:t>
      </w:r>
      <w:r w:rsidR="009659AC">
        <w:t xml:space="preserve"> </w:t>
      </w:r>
      <w:r w:rsidR="009659AC" w:rsidRPr="009659AC">
        <w:t>[</w:t>
      </w:r>
      <w:r w:rsidR="009659AC" w:rsidRPr="007F4EAB">
        <w:t>1]</w:t>
      </w:r>
      <w:r w:rsidR="00C61733">
        <w:t>.</w:t>
      </w:r>
    </w:p>
    <w:p w14:paraId="47AA4EF2" w14:textId="5F8EE71C" w:rsidR="000F1450" w:rsidRDefault="003B7A4D" w:rsidP="003A741E">
      <w:pPr>
        <w:ind w:firstLine="397"/>
        <w:jc w:val="both"/>
      </w:pPr>
      <w:r>
        <w:t>Настоящая работа посвящена</w:t>
      </w:r>
      <w:r w:rsidR="00C76F98" w:rsidRPr="009659AC">
        <w:t xml:space="preserve"> синтез</w:t>
      </w:r>
      <w:r>
        <w:t>у</w:t>
      </w:r>
      <w:r w:rsidR="00D94CBD">
        <w:t xml:space="preserve"> и изучению структуры гребнеобразного сополимера, полученного на основе </w:t>
      </w:r>
      <w:r w:rsidR="00D94CBD" w:rsidRPr="009659AC">
        <w:t>диальдегидкарбоксиметилцеллюлозы</w:t>
      </w:r>
      <w:r w:rsidR="004063B7">
        <w:t xml:space="preserve"> (ДАКМЦ)</w:t>
      </w:r>
      <w:r w:rsidR="00D94CBD">
        <w:t xml:space="preserve"> и </w:t>
      </w:r>
      <w:r w:rsidR="00D94CBD" w:rsidRPr="009659AC">
        <w:t>полиэтил</w:t>
      </w:r>
      <w:r w:rsidR="00D94CBD">
        <w:t>-2-цианоакрилата</w:t>
      </w:r>
      <w:r w:rsidR="004063B7">
        <w:t xml:space="preserve"> (рис. 1)</w:t>
      </w:r>
      <w:r w:rsidR="00D94CBD">
        <w:t xml:space="preserve">. </w:t>
      </w:r>
      <w:r w:rsidR="001C1A96">
        <w:t>ДАКМЦ</w:t>
      </w:r>
      <w:r w:rsidR="00D94CBD">
        <w:t xml:space="preserve"> получали по реакции периодатного окисления </w:t>
      </w:r>
      <w:r w:rsidR="00D94CBD" w:rsidRPr="009659AC">
        <w:t>[</w:t>
      </w:r>
      <w:r w:rsidR="00D94CBD">
        <w:t>2</w:t>
      </w:r>
      <w:r w:rsidR="00D94CBD" w:rsidRPr="007F4EAB">
        <w:t>]</w:t>
      </w:r>
      <w:r w:rsidR="00D94CBD">
        <w:t>.</w:t>
      </w:r>
      <w:r w:rsidR="00D94CBD">
        <w:t xml:space="preserve"> Образующиеся в результате окисления альдегидные группы, содержащиеся в основной цепи </w:t>
      </w:r>
      <w:r w:rsidR="00655C0F">
        <w:t>ДАКМЦ</w:t>
      </w:r>
      <w:r w:rsidR="00D94CBD">
        <w:t xml:space="preserve"> способны легко связываться с физиологически активными молекулами, содержащими реакционноспособные аминогруппы. </w:t>
      </w:r>
      <w:r w:rsidR="00C76F98" w:rsidRPr="009659AC">
        <w:t xml:space="preserve">Кроме этого, в структуру </w:t>
      </w:r>
      <w:r w:rsidR="00D94CBD">
        <w:t>полимера-</w:t>
      </w:r>
      <w:r w:rsidR="00C76F98" w:rsidRPr="009659AC">
        <w:t>носителя</w:t>
      </w:r>
      <w:r w:rsidR="009659AC" w:rsidRPr="009659AC">
        <w:t xml:space="preserve"> лекарств</w:t>
      </w:r>
      <w:r w:rsidR="0019062A">
        <w:t xml:space="preserve"> добавляли</w:t>
      </w:r>
      <w:r w:rsidR="00C76F98" w:rsidRPr="009659AC">
        <w:t xml:space="preserve"> привитые полимерные цепи полиэтил</w:t>
      </w:r>
      <w:r w:rsidR="0019062A">
        <w:t>-2-цианоакрилата, которые обеспечивают</w:t>
      </w:r>
      <w:r w:rsidR="00C76F98" w:rsidRPr="009659AC">
        <w:t xml:space="preserve"> взаимодействие гребнеобразного полимера с плазмолеммой эукариотических клеток </w:t>
      </w:r>
      <w:r w:rsidR="009659AC" w:rsidRPr="009659AC">
        <w:t>[</w:t>
      </w:r>
      <w:r w:rsidR="00D94CBD">
        <w:t>3</w:t>
      </w:r>
      <w:r w:rsidR="009659AC" w:rsidRPr="009659AC">
        <w:t>]</w:t>
      </w:r>
      <w:r w:rsidR="00D94CBD">
        <w:t>.</w:t>
      </w:r>
    </w:p>
    <w:p w14:paraId="4B8F9B26" w14:textId="7D1ABE9C" w:rsidR="004063B7" w:rsidRDefault="004063B7" w:rsidP="003A741E">
      <w:pPr>
        <w:ind w:firstLine="397"/>
        <w:jc w:val="both"/>
      </w:pPr>
      <w:r>
        <w:rPr>
          <w:noProof/>
        </w:rPr>
        <w:drawing>
          <wp:inline distT="0" distB="0" distL="0" distR="0" wp14:anchorId="70EB2C32" wp14:editId="51E9D9D3">
            <wp:extent cx="5828030" cy="1762125"/>
            <wp:effectExtent l="0" t="0" r="127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045AB1" w14:textId="7ED29898" w:rsidR="000F1450" w:rsidRDefault="004063B7" w:rsidP="004063B7">
      <w:pPr>
        <w:ind w:firstLine="397"/>
        <w:jc w:val="both"/>
      </w:pPr>
      <w:r>
        <w:t xml:space="preserve">Рис. 1. Схема синтеза сополимера ДАКМЦ и </w:t>
      </w:r>
      <w:r w:rsidRPr="009659AC">
        <w:t>полиэтил</w:t>
      </w:r>
      <w:r>
        <w:t>-2-цианоакрилата</w:t>
      </w:r>
      <w:r>
        <w:rPr>
          <w:noProof/>
        </w:rPr>
        <w:t xml:space="preserve"> </w:t>
      </w:r>
    </w:p>
    <w:p w14:paraId="2F499FDD" w14:textId="142938DE" w:rsidR="000F1450" w:rsidRPr="000F1450" w:rsidRDefault="000F1450" w:rsidP="00402162">
      <w:pPr>
        <w:ind w:firstLine="397"/>
        <w:jc w:val="both"/>
      </w:pPr>
      <w:r w:rsidRPr="009659AC">
        <w:t xml:space="preserve">Химическое строение полимера-носителя изучали с помощью </w:t>
      </w:r>
      <w:r w:rsidRPr="009659AC">
        <w:rPr>
          <w:lang w:val="en-US"/>
        </w:rPr>
        <w:t>MALDI</w:t>
      </w:r>
      <w:r w:rsidRPr="009659AC">
        <w:t>-</w:t>
      </w:r>
      <w:r w:rsidRPr="009659AC">
        <w:rPr>
          <w:lang w:val="en-US"/>
        </w:rPr>
        <w:t>TOF</w:t>
      </w:r>
      <w:r w:rsidRPr="009659AC">
        <w:t xml:space="preserve"> масс</w:t>
      </w:r>
      <w:r>
        <w:t>-спектрометрии</w:t>
      </w:r>
      <w:r w:rsidRPr="009659AC">
        <w:t xml:space="preserve">, </w:t>
      </w:r>
      <w:r w:rsidR="003B12EB" w:rsidRPr="009659AC">
        <w:rPr>
          <w:vertAlign w:val="superscript"/>
        </w:rPr>
        <w:t>13</w:t>
      </w:r>
      <w:r w:rsidR="003B12EB" w:rsidRPr="009659AC">
        <w:t>С</w:t>
      </w:r>
      <w:r w:rsidR="003B12EB" w:rsidRPr="009659AC">
        <w:t xml:space="preserve"> </w:t>
      </w:r>
      <w:r w:rsidRPr="009659AC">
        <w:t>ЯМР</w:t>
      </w:r>
      <w:r w:rsidR="003B12EB">
        <w:t>-</w:t>
      </w:r>
      <w:r w:rsidRPr="009659AC">
        <w:t xml:space="preserve">спектроскопии и </w:t>
      </w:r>
      <w:r w:rsidR="00AC26A6">
        <w:t>ИК-спектроскопии</w:t>
      </w:r>
      <w:bookmarkStart w:id="0" w:name="_GoBack"/>
      <w:bookmarkEnd w:id="0"/>
      <w:r w:rsidRPr="009659AC">
        <w:t xml:space="preserve">. Имеющийся сайт связывания позволяет присоединять к полимеру-носителю и обеспечивать внутриклеточный транспорт широкого спектра физиологически активных соединений, включая плазмиды и мРНК, используемые при </w:t>
      </w:r>
      <w:r w:rsidR="003B12EB">
        <w:t>создании вакцин.</w:t>
      </w:r>
    </w:p>
    <w:p w14:paraId="360FF9BB" w14:textId="77777777" w:rsidR="00C76F98" w:rsidRPr="00C76F98" w:rsidRDefault="00C76F98" w:rsidP="00C76F98">
      <w:pPr>
        <w:jc w:val="center"/>
        <w:rPr>
          <w:b/>
          <w:lang w:val="en-US"/>
        </w:rPr>
      </w:pPr>
      <w:r>
        <w:rPr>
          <w:b/>
        </w:rPr>
        <w:t>Литература</w:t>
      </w:r>
    </w:p>
    <w:p w14:paraId="1DEC5826" w14:textId="6C52C5BA" w:rsidR="00C76F98" w:rsidRDefault="00C76F98" w:rsidP="00C76F98">
      <w:pPr>
        <w:pStyle w:val="A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1</w:t>
      </w:r>
      <w:r w:rsidRPr="00C76F98">
        <w:rPr>
          <w:rFonts w:ascii="Times New Roman" w:hAnsi="Times New Roman"/>
          <w:szCs w:val="24"/>
          <w:lang w:val="en-US"/>
        </w:rPr>
        <w:t>.</w:t>
      </w:r>
      <w:r w:rsidRPr="00C76F98">
        <w:rPr>
          <w:szCs w:val="24"/>
          <w:lang w:val="en-US"/>
        </w:rPr>
        <w:t xml:space="preserve"> </w:t>
      </w:r>
      <w:r w:rsidRPr="00C76F98">
        <w:rPr>
          <w:rFonts w:ascii="Times New Roman" w:hAnsi="Times New Roman"/>
          <w:szCs w:val="24"/>
          <w:lang w:val="en-US"/>
        </w:rPr>
        <w:t xml:space="preserve">Luss A. </w:t>
      </w:r>
      <w:r w:rsidR="00EA2412">
        <w:rPr>
          <w:rFonts w:ascii="Times New Roman" w:hAnsi="Times New Roman"/>
          <w:szCs w:val="24"/>
          <w:lang w:val="en-US"/>
        </w:rPr>
        <w:t xml:space="preserve">Kushnerev K., Vlaskina E. et al. </w:t>
      </w:r>
      <w:r w:rsidRPr="00C76F98">
        <w:rPr>
          <w:rFonts w:ascii="Times New Roman" w:hAnsi="Times New Roman"/>
          <w:szCs w:val="24"/>
          <w:lang w:val="en-US"/>
        </w:rPr>
        <w:t>Gel Based on Hydroxyethyl Starch with Immobilized Amikacin for Coating of Bone Matrices in Experimental Osteomyelitis Treatment // Biomacromol</w:t>
      </w:r>
      <w:r w:rsidR="00FC7B1E" w:rsidRPr="00FC7B1E">
        <w:rPr>
          <w:rFonts w:ascii="Times New Roman" w:hAnsi="Times New Roman"/>
          <w:szCs w:val="24"/>
          <w:lang w:val="en-US"/>
        </w:rPr>
        <w:t>.</w:t>
      </w:r>
      <w:r w:rsidRPr="00C76F98">
        <w:rPr>
          <w:rFonts w:ascii="Times New Roman" w:hAnsi="Times New Roman"/>
          <w:szCs w:val="24"/>
          <w:lang w:val="en-US"/>
        </w:rPr>
        <w:t xml:space="preserve"> 2023</w:t>
      </w:r>
      <w:r w:rsidR="00FC7B1E" w:rsidRPr="00FC7B1E">
        <w:rPr>
          <w:rFonts w:ascii="Times New Roman" w:hAnsi="Times New Roman"/>
          <w:szCs w:val="24"/>
          <w:lang w:val="en-US"/>
        </w:rPr>
        <w:t>.</w:t>
      </w:r>
      <w:r>
        <w:rPr>
          <w:rFonts w:ascii="Times New Roman" w:hAnsi="Times New Roman"/>
          <w:szCs w:val="24"/>
          <w:lang w:val="en-US"/>
        </w:rPr>
        <w:t xml:space="preserve"> V</w:t>
      </w:r>
      <w:r w:rsidRPr="00C76F98">
        <w:rPr>
          <w:rFonts w:ascii="Times New Roman" w:hAnsi="Times New Roman"/>
          <w:szCs w:val="24"/>
          <w:lang w:val="en-US"/>
        </w:rPr>
        <w:t>ol. 24</w:t>
      </w:r>
      <w:r w:rsidR="00FC7B1E" w:rsidRPr="00FC7B1E">
        <w:rPr>
          <w:rFonts w:ascii="Times New Roman" w:hAnsi="Times New Roman"/>
          <w:szCs w:val="24"/>
          <w:lang w:val="en-US"/>
        </w:rPr>
        <w:t>.</w:t>
      </w:r>
      <w:r>
        <w:rPr>
          <w:rFonts w:ascii="Times New Roman" w:hAnsi="Times New Roman"/>
          <w:szCs w:val="24"/>
          <w:lang w:val="en-US"/>
        </w:rPr>
        <w:t xml:space="preserve"> P</w:t>
      </w:r>
      <w:r w:rsidRPr="00C76F98">
        <w:rPr>
          <w:rFonts w:ascii="Times New Roman" w:hAnsi="Times New Roman"/>
          <w:szCs w:val="24"/>
          <w:lang w:val="en-US"/>
        </w:rPr>
        <w:t>. 5666-5677.</w:t>
      </w:r>
    </w:p>
    <w:p w14:paraId="04D1DB23" w14:textId="177EE2BB" w:rsidR="00286B3E" w:rsidRPr="00E9769B" w:rsidRDefault="00286B3E" w:rsidP="00C76F98">
      <w:pPr>
        <w:pStyle w:val="A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lang w:val="en-US"/>
        </w:rPr>
      </w:pPr>
      <w:r w:rsidRPr="00E9769B">
        <w:rPr>
          <w:rFonts w:ascii="Times New Roman" w:hAnsi="Times New Roman"/>
          <w:szCs w:val="24"/>
          <w:lang w:val="en-US"/>
        </w:rPr>
        <w:t xml:space="preserve">2. </w:t>
      </w:r>
      <w:r w:rsidR="00E9769B" w:rsidRPr="00E9769B">
        <w:rPr>
          <w:rFonts w:ascii="Times New Roman" w:hAnsi="Times New Roman"/>
          <w:szCs w:val="24"/>
          <w:lang w:val="en-US"/>
        </w:rPr>
        <w:t>Dyatlov V.A.</w:t>
      </w:r>
      <w:r w:rsidR="00EA2412">
        <w:rPr>
          <w:rFonts w:ascii="Times New Roman" w:hAnsi="Times New Roman"/>
          <w:szCs w:val="24"/>
          <w:lang w:val="en-US"/>
        </w:rPr>
        <w:t>, Gumnikova V.I., Grebeneva T.A.</w:t>
      </w:r>
      <w:r w:rsidR="00E9769B" w:rsidRPr="00E9769B">
        <w:rPr>
          <w:rFonts w:ascii="Times New Roman" w:hAnsi="Times New Roman"/>
          <w:szCs w:val="24"/>
          <w:lang w:val="en-US"/>
        </w:rPr>
        <w:t xml:space="preserve"> et al. Study of the chemical structure of dialdehyde carboxymethyl cellulose produced by periodate oxidation under different conditions //Inter. Polymer Sci. and Tech. 2015. </w:t>
      </w:r>
      <w:r w:rsidR="00E9769B">
        <w:rPr>
          <w:rFonts w:ascii="Times New Roman" w:hAnsi="Times New Roman"/>
          <w:szCs w:val="24"/>
          <w:lang w:val="en-US"/>
        </w:rPr>
        <w:t>Vol.</w:t>
      </w:r>
      <w:r w:rsidR="00E9769B" w:rsidRPr="00E9769B">
        <w:rPr>
          <w:rFonts w:ascii="Times New Roman" w:hAnsi="Times New Roman"/>
          <w:szCs w:val="24"/>
          <w:lang w:val="en-US"/>
        </w:rPr>
        <w:t xml:space="preserve"> 42. </w:t>
      </w:r>
      <w:r w:rsidR="00E9769B">
        <w:rPr>
          <w:rFonts w:ascii="Times New Roman" w:hAnsi="Times New Roman"/>
          <w:szCs w:val="24"/>
          <w:lang w:val="en-US"/>
        </w:rPr>
        <w:t>P.</w:t>
      </w:r>
      <w:r w:rsidR="00E9769B" w:rsidRPr="00E9769B">
        <w:rPr>
          <w:rFonts w:ascii="Times New Roman" w:hAnsi="Times New Roman"/>
          <w:szCs w:val="24"/>
          <w:lang w:val="en-US"/>
        </w:rPr>
        <w:t xml:space="preserve"> 19-26.</w:t>
      </w:r>
    </w:p>
    <w:p w14:paraId="3486C755" w14:textId="15CED567" w:rsidR="00116478" w:rsidRPr="000F1450" w:rsidRDefault="00286B3E" w:rsidP="000F1450">
      <w:pPr>
        <w:pStyle w:val="A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lang w:val="en-US"/>
        </w:rPr>
      </w:pPr>
      <w:r w:rsidRPr="007A72BC">
        <w:rPr>
          <w:rFonts w:ascii="Times New Roman" w:hAnsi="Times New Roman"/>
          <w:szCs w:val="24"/>
          <w:lang w:val="en-US"/>
        </w:rPr>
        <w:t>3</w:t>
      </w:r>
      <w:r w:rsidR="00C76F98" w:rsidRPr="00C76F98">
        <w:rPr>
          <w:rFonts w:ascii="Times New Roman" w:hAnsi="Times New Roman"/>
          <w:szCs w:val="24"/>
          <w:lang w:val="en-US"/>
        </w:rPr>
        <w:t>. Dyatlov V.</w:t>
      </w:r>
      <w:r w:rsidR="0038519B">
        <w:rPr>
          <w:rFonts w:ascii="Times New Roman" w:hAnsi="Times New Roman"/>
          <w:szCs w:val="24"/>
        </w:rPr>
        <w:t>А</w:t>
      </w:r>
      <w:r w:rsidR="0038519B" w:rsidRPr="0038519B">
        <w:rPr>
          <w:rFonts w:ascii="Times New Roman" w:hAnsi="Times New Roman"/>
          <w:szCs w:val="24"/>
          <w:lang w:val="en-US"/>
        </w:rPr>
        <w:t>.</w:t>
      </w:r>
      <w:r w:rsidR="0038519B">
        <w:rPr>
          <w:rFonts w:ascii="Times New Roman" w:hAnsi="Times New Roman"/>
          <w:szCs w:val="24"/>
          <w:lang w:val="en-US"/>
        </w:rPr>
        <w:t>, Seregina T.S., Derevnin I.A. et al.</w:t>
      </w:r>
      <w:r w:rsidR="00C76F98" w:rsidRPr="00C76F98">
        <w:rPr>
          <w:rFonts w:ascii="Times New Roman" w:hAnsi="Times New Roman"/>
          <w:szCs w:val="24"/>
          <w:lang w:val="en-US"/>
        </w:rPr>
        <w:t xml:space="preserve"> First comb-like соpolymer of poly(ethyl-2-cyanoacrylate) grafted as a side-chain to macromolecule of polysaccharide // M</w:t>
      </w:r>
      <w:r w:rsidR="00C76F98">
        <w:rPr>
          <w:rFonts w:ascii="Times New Roman" w:hAnsi="Times New Roman"/>
          <w:szCs w:val="24"/>
          <w:lang w:val="en-US"/>
        </w:rPr>
        <w:t>end</w:t>
      </w:r>
      <w:r w:rsidR="00FC7B1E" w:rsidRPr="00FC7B1E">
        <w:rPr>
          <w:rFonts w:ascii="Times New Roman" w:hAnsi="Times New Roman"/>
          <w:szCs w:val="24"/>
          <w:lang w:val="en-US"/>
        </w:rPr>
        <w:t>.</w:t>
      </w:r>
      <w:r w:rsidR="00C76F98">
        <w:rPr>
          <w:rFonts w:ascii="Times New Roman" w:hAnsi="Times New Roman"/>
          <w:szCs w:val="24"/>
          <w:lang w:val="en-US"/>
        </w:rPr>
        <w:t xml:space="preserve"> Comm</w:t>
      </w:r>
      <w:r w:rsidR="00FC7B1E" w:rsidRPr="00FC7B1E">
        <w:rPr>
          <w:rFonts w:ascii="Times New Roman" w:hAnsi="Times New Roman"/>
          <w:szCs w:val="24"/>
          <w:lang w:val="en-US"/>
        </w:rPr>
        <w:t>.</w:t>
      </w:r>
      <w:r w:rsidR="00C76F98">
        <w:rPr>
          <w:rFonts w:ascii="Times New Roman" w:hAnsi="Times New Roman"/>
          <w:szCs w:val="24"/>
          <w:lang w:val="en-US"/>
        </w:rPr>
        <w:t xml:space="preserve"> 2024</w:t>
      </w:r>
      <w:r w:rsidR="00FC7B1E" w:rsidRPr="00FC7B1E">
        <w:rPr>
          <w:rFonts w:ascii="Times New Roman" w:hAnsi="Times New Roman"/>
          <w:szCs w:val="24"/>
          <w:lang w:val="en-US"/>
        </w:rPr>
        <w:t xml:space="preserve">. </w:t>
      </w:r>
      <w:r w:rsidR="00C76F98">
        <w:rPr>
          <w:rFonts w:ascii="Times New Roman" w:hAnsi="Times New Roman"/>
          <w:szCs w:val="24"/>
          <w:lang w:val="en-US"/>
        </w:rPr>
        <w:t>Vol. 34</w:t>
      </w:r>
      <w:r w:rsidR="00FC7B1E" w:rsidRPr="00286B3E">
        <w:rPr>
          <w:rFonts w:ascii="Times New Roman" w:hAnsi="Times New Roman"/>
          <w:szCs w:val="24"/>
          <w:lang w:val="en-US"/>
        </w:rPr>
        <w:t>.</w:t>
      </w:r>
      <w:r w:rsidR="00C76F98">
        <w:rPr>
          <w:rFonts w:ascii="Times New Roman" w:hAnsi="Times New Roman"/>
          <w:szCs w:val="24"/>
          <w:lang w:val="en-US"/>
        </w:rPr>
        <w:t xml:space="preserve"> P</w:t>
      </w:r>
      <w:r w:rsidR="00C76F98" w:rsidRPr="00C76F98">
        <w:rPr>
          <w:rFonts w:ascii="Times New Roman" w:hAnsi="Times New Roman"/>
          <w:szCs w:val="24"/>
          <w:lang w:val="en-US"/>
        </w:rPr>
        <w:t xml:space="preserve">. </w:t>
      </w:r>
      <w:r w:rsidR="00C76F98">
        <w:rPr>
          <w:rFonts w:ascii="Times New Roman" w:hAnsi="Times New Roman"/>
          <w:szCs w:val="24"/>
          <w:lang w:val="en-US"/>
        </w:rPr>
        <w:t>881-883.</w:t>
      </w:r>
    </w:p>
    <w:sectPr w:rsidR="00116478" w:rsidRPr="000F145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95788"/>
    <w:rsid w:val="000C178F"/>
    <w:rsid w:val="000E334E"/>
    <w:rsid w:val="000F1450"/>
    <w:rsid w:val="00101A1C"/>
    <w:rsid w:val="00103657"/>
    <w:rsid w:val="00106375"/>
    <w:rsid w:val="00107AA3"/>
    <w:rsid w:val="00116478"/>
    <w:rsid w:val="00130241"/>
    <w:rsid w:val="001570CF"/>
    <w:rsid w:val="0019062A"/>
    <w:rsid w:val="001B5E5A"/>
    <w:rsid w:val="001C1A96"/>
    <w:rsid w:val="001E61C2"/>
    <w:rsid w:val="001F0493"/>
    <w:rsid w:val="002150E2"/>
    <w:rsid w:val="0022260A"/>
    <w:rsid w:val="002264EE"/>
    <w:rsid w:val="0023307C"/>
    <w:rsid w:val="00240C89"/>
    <w:rsid w:val="00286B3E"/>
    <w:rsid w:val="0031361E"/>
    <w:rsid w:val="0038519B"/>
    <w:rsid w:val="00391C38"/>
    <w:rsid w:val="003A741E"/>
    <w:rsid w:val="003B12EB"/>
    <w:rsid w:val="003B76D6"/>
    <w:rsid w:val="003B7A4D"/>
    <w:rsid w:val="003E2601"/>
    <w:rsid w:val="003F4E6B"/>
    <w:rsid w:val="00402162"/>
    <w:rsid w:val="004063B7"/>
    <w:rsid w:val="0042204E"/>
    <w:rsid w:val="004228E6"/>
    <w:rsid w:val="004A26A3"/>
    <w:rsid w:val="004E6628"/>
    <w:rsid w:val="004F0EDF"/>
    <w:rsid w:val="00522BF1"/>
    <w:rsid w:val="00590166"/>
    <w:rsid w:val="005D022B"/>
    <w:rsid w:val="005E5BE9"/>
    <w:rsid w:val="00655C0F"/>
    <w:rsid w:val="0069427D"/>
    <w:rsid w:val="006F7A19"/>
    <w:rsid w:val="007213E1"/>
    <w:rsid w:val="00734399"/>
    <w:rsid w:val="00775389"/>
    <w:rsid w:val="00797838"/>
    <w:rsid w:val="007A72BC"/>
    <w:rsid w:val="007C36D8"/>
    <w:rsid w:val="007D7A24"/>
    <w:rsid w:val="007F2744"/>
    <w:rsid w:val="007F4EAB"/>
    <w:rsid w:val="0084638C"/>
    <w:rsid w:val="008931BE"/>
    <w:rsid w:val="008C67E3"/>
    <w:rsid w:val="00914205"/>
    <w:rsid w:val="00921D45"/>
    <w:rsid w:val="009426C0"/>
    <w:rsid w:val="009659AC"/>
    <w:rsid w:val="00980A65"/>
    <w:rsid w:val="009A66DB"/>
    <w:rsid w:val="009B2F80"/>
    <w:rsid w:val="009B3300"/>
    <w:rsid w:val="009F3380"/>
    <w:rsid w:val="00A02163"/>
    <w:rsid w:val="00A15DE8"/>
    <w:rsid w:val="00A314FE"/>
    <w:rsid w:val="00A374EF"/>
    <w:rsid w:val="00AB545C"/>
    <w:rsid w:val="00AC26A6"/>
    <w:rsid w:val="00AC2833"/>
    <w:rsid w:val="00AD7380"/>
    <w:rsid w:val="00AF50E1"/>
    <w:rsid w:val="00B41A5F"/>
    <w:rsid w:val="00B56443"/>
    <w:rsid w:val="00B97C3C"/>
    <w:rsid w:val="00BC2787"/>
    <w:rsid w:val="00BF36F8"/>
    <w:rsid w:val="00BF4622"/>
    <w:rsid w:val="00C61733"/>
    <w:rsid w:val="00C76F98"/>
    <w:rsid w:val="00C80F82"/>
    <w:rsid w:val="00C844E2"/>
    <w:rsid w:val="00C90B58"/>
    <w:rsid w:val="00CD00B1"/>
    <w:rsid w:val="00D22306"/>
    <w:rsid w:val="00D42542"/>
    <w:rsid w:val="00D8121C"/>
    <w:rsid w:val="00D94CBD"/>
    <w:rsid w:val="00DA21AE"/>
    <w:rsid w:val="00E20D67"/>
    <w:rsid w:val="00E22189"/>
    <w:rsid w:val="00E74069"/>
    <w:rsid w:val="00E81D35"/>
    <w:rsid w:val="00E9769B"/>
    <w:rsid w:val="00EA2412"/>
    <w:rsid w:val="00EB1F49"/>
    <w:rsid w:val="00F326B4"/>
    <w:rsid w:val="00F865B3"/>
    <w:rsid w:val="00FA5A60"/>
    <w:rsid w:val="00FB1509"/>
    <w:rsid w:val="00FC7B1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798F051D-64C0-4304-A40A-C2283F58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3439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4399"/>
    <w:rPr>
      <w:rFonts w:ascii="Tahoma" w:eastAsia="Times New Roman" w:hAnsi="Tahoma" w:cs="Tahoma"/>
      <w:sz w:val="16"/>
      <w:szCs w:val="16"/>
    </w:rPr>
  </w:style>
  <w:style w:type="paragraph" w:customStyle="1" w:styleId="Ad">
    <w:name w:val="Текстовый блок A"/>
    <w:rsid w:val="00C76F98"/>
    <w:rPr>
      <w:rFonts w:ascii="Helvetica" w:eastAsia="ヒラギノ角ゴ Pro W3" w:hAnsi="Helvetica" w:cs="Times New Roman"/>
      <w:color w:val="000000"/>
      <w:sz w:val="24"/>
    </w:rPr>
  </w:style>
  <w:style w:type="paragraph" w:styleId="ae">
    <w:name w:val="caption"/>
    <w:basedOn w:val="a"/>
    <w:next w:val="a"/>
    <w:uiPriority w:val="35"/>
    <w:unhideWhenUsed/>
    <w:qFormat/>
    <w:rsid w:val="0019062A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DD81C8-C179-40D5-A9C3-2AA846B53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feedoz1e 17</dc:creator>
  <cp:lastModifiedBy>Ева</cp:lastModifiedBy>
  <cp:revision>56</cp:revision>
  <dcterms:created xsi:type="dcterms:W3CDTF">2025-03-02T13:28:00Z</dcterms:created>
  <dcterms:modified xsi:type="dcterms:W3CDTF">2025-03-03T06:58:00Z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