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4540A91" w:rsidR="00130241" w:rsidRPr="001310EA" w:rsidRDefault="00557A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b/>
          <w:color w:val="000000"/>
        </w:rPr>
        <w:t xml:space="preserve">Использование двумерной корреляционной </w:t>
      </w:r>
      <w:r w:rsidRPr="001310EA">
        <w:rPr>
          <w:b/>
        </w:rPr>
        <w:t xml:space="preserve">спектроскопии </w:t>
      </w:r>
      <w:r w:rsidR="00B31C08" w:rsidRPr="001310EA">
        <w:rPr>
          <w:b/>
        </w:rPr>
        <w:t xml:space="preserve">для повышения </w:t>
      </w:r>
      <w:proofErr w:type="spellStart"/>
      <w:r w:rsidR="00B31C08" w:rsidRPr="001310EA">
        <w:rPr>
          <w:b/>
        </w:rPr>
        <w:t>прецизионности</w:t>
      </w:r>
      <w:proofErr w:type="spellEnd"/>
      <w:r w:rsidR="00B31C08" w:rsidRPr="001310EA">
        <w:rPr>
          <w:b/>
        </w:rPr>
        <w:t xml:space="preserve"> спектрофотометрических измерений</w:t>
      </w:r>
    </w:p>
    <w:p w14:paraId="00000002" w14:textId="580953CC" w:rsidR="00130241" w:rsidRDefault="007263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Медведев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Волков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557AAB">
        <w:rPr>
          <w:b/>
          <w:i/>
          <w:color w:val="000000"/>
        </w:rPr>
        <w:t>, Проскурнин М.А.</w:t>
      </w:r>
    </w:p>
    <w:p w14:paraId="00000003" w14:textId="3D96A8B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26364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5" w14:textId="5CC41030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413CCBAB" w:rsidR="00130241" w:rsidRPr="006E228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E2282">
        <w:rPr>
          <w:i/>
          <w:color w:val="000000"/>
          <w:lang w:val="en-US"/>
        </w:rPr>
        <w:t>E</w:t>
      </w:r>
      <w:r w:rsidR="003B76D6" w:rsidRPr="006E2282">
        <w:rPr>
          <w:i/>
          <w:color w:val="000000"/>
          <w:lang w:val="en-US"/>
        </w:rPr>
        <w:t>-</w:t>
      </w:r>
      <w:r w:rsidRPr="006E2282">
        <w:rPr>
          <w:i/>
          <w:color w:val="000000"/>
          <w:lang w:val="en-US"/>
        </w:rPr>
        <w:t>mail:</w:t>
      </w:r>
      <w:r w:rsidR="00726364" w:rsidRPr="006E2282">
        <w:rPr>
          <w:lang w:val="en-US"/>
        </w:rPr>
        <w:t xml:space="preserve"> </w:t>
      </w:r>
      <w:r w:rsidR="00726364" w:rsidRPr="006E2282">
        <w:rPr>
          <w:i/>
          <w:color w:val="000000"/>
          <w:lang w:val="en-US"/>
        </w:rPr>
        <w:t>andrei.medvedev@chemistry.msu.ru</w:t>
      </w:r>
    </w:p>
    <w:p w14:paraId="70380AAB" w14:textId="21549F05" w:rsidR="006E2282" w:rsidRPr="00B3429E" w:rsidRDefault="00557AAB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57AAB">
        <w:rPr>
          <w:color w:val="000000"/>
        </w:rPr>
        <w:t xml:space="preserve">Двумерная корреляционная спектроскопия (2D-COS) </w:t>
      </w:r>
      <w:r>
        <w:rPr>
          <w:color w:val="000000"/>
        </w:rPr>
        <w:t>—</w:t>
      </w:r>
      <w:r w:rsidRPr="00557AAB">
        <w:rPr>
          <w:color w:val="000000"/>
        </w:rPr>
        <w:t>метод углубленного анализа спектральных данных, основанный на построении корреляционных карт</w:t>
      </w:r>
      <w:r w:rsidR="00C45BDE">
        <w:rPr>
          <w:color w:val="000000"/>
        </w:rPr>
        <w:t>, полученных</w:t>
      </w:r>
      <w:r w:rsidRPr="00557AAB">
        <w:rPr>
          <w:color w:val="000000"/>
        </w:rPr>
        <w:t xml:space="preserve"> на основе данных спектр</w:t>
      </w:r>
      <w:r w:rsidR="00B111B9">
        <w:rPr>
          <w:color w:val="000000"/>
        </w:rPr>
        <w:t>альных</w:t>
      </w:r>
      <w:r w:rsidRPr="00557AAB">
        <w:rPr>
          <w:color w:val="000000"/>
        </w:rPr>
        <w:t xml:space="preserve"> методов. В основе </w:t>
      </w:r>
      <w:r w:rsidR="00B111B9" w:rsidRPr="00557AAB">
        <w:rPr>
          <w:color w:val="000000"/>
        </w:rPr>
        <w:t xml:space="preserve">2D-COS </w:t>
      </w:r>
      <w:r w:rsidRPr="00557AAB">
        <w:rPr>
          <w:color w:val="000000"/>
        </w:rPr>
        <w:t>лежит изучение динамического спектра, то есть изменений в спектре в зависимости от приложенного внешнего возмущения. 2D-COS улучшает разрешение сложных неразрешенных спектров, расширяет возможности многих спектральных методов идентификации веществ, а также упрощает визуализацию спектров, состоящих из множества перекрывающихся полос</w:t>
      </w:r>
      <w:r w:rsidR="00B3429E" w:rsidRPr="00B3429E">
        <w:rPr>
          <w:color w:val="000000"/>
        </w:rPr>
        <w:t xml:space="preserve"> </w:t>
      </w:r>
      <w:r w:rsidR="00B3429E">
        <w:rPr>
          <w:color w:val="000000"/>
        </w:rPr>
        <w:fldChar w:fldCharType="begin"/>
      </w:r>
      <w:r w:rsidR="00B3429E">
        <w:rPr>
          <w:color w:val="000000"/>
        </w:rPr>
        <w:instrText xml:space="preserve"> ADDIN EN.CITE &lt;EndNote&gt;&lt;Cite&gt;&lt;Author&gt;Noda&lt;/Author&gt;&lt;Year&gt;2000&lt;/Year&gt;&lt;RecNum&gt;281&lt;/RecNum&gt;&lt;DisplayText&gt;[1]&lt;/DisplayText&gt;&lt;record&gt;&lt;rec-number&gt;281&lt;/rec-number&gt;&lt;foreign-keys&gt;&lt;key app="EN" db-id="50wepp5w79ssweewd5y5p22xt95awaptfewp" timestamp="1730246723"&gt;281&lt;/key&gt;&lt;/foreign-keys&gt;&lt;ref-type name="Journal Article"&gt;17&lt;/ref-type&gt;&lt;contributors&gt;&lt;authors&gt;&lt;author&gt;Noda, I.&lt;/author&gt;&lt;author&gt;Dowrey, A. E.&lt;/author&gt;&lt;author&gt;Marcott, C.&lt;/author&gt;&lt;author&gt;Story, G. M.&lt;/author&gt;&lt;author&gt;Ozaki, Y.&lt;/author&gt;&lt;/authors&gt;&lt;/contributors&gt;&lt;titles&gt;&lt;title&gt;Generalized Two-Dimensional Correlation Spectroscopy&lt;/title&gt;&lt;secondary-title&gt;Applied Spectroscopy&lt;/secondary-title&gt;&lt;/titles&gt;&lt;periodical&gt;&lt;full-title&gt;Applied Spectroscopy&lt;/full-title&gt;&lt;/periodical&gt;&lt;pages&gt;236A-248A&lt;/pages&gt;&lt;volume&gt;54&lt;/volume&gt;&lt;number&gt;7&lt;/number&gt;&lt;dates&gt;&lt;year&gt;2000&lt;/year&gt;&lt;/dates&gt;&lt;urls&gt;&lt;related-urls&gt;&lt;url&gt;https://journals.sagepub.com/doi/abs/10.1366/0003702001950454&lt;/url&gt;&lt;/related-urls&gt;&lt;/urls&gt;&lt;electronic-resource-num&gt;10.1366/0003702001950454&lt;/electronic-resource-num&gt;&lt;/record&gt;&lt;/Cite&gt;&lt;/EndNote&gt;</w:instrText>
      </w:r>
      <w:r w:rsidR="00B3429E">
        <w:rPr>
          <w:color w:val="000000"/>
        </w:rPr>
        <w:fldChar w:fldCharType="separate"/>
      </w:r>
      <w:r w:rsidR="00B3429E">
        <w:rPr>
          <w:noProof/>
          <w:color w:val="000000"/>
        </w:rPr>
        <w:t>[1]</w:t>
      </w:r>
      <w:r w:rsidR="00B3429E">
        <w:rPr>
          <w:color w:val="000000"/>
        </w:rPr>
        <w:fldChar w:fldCharType="end"/>
      </w:r>
      <w:r w:rsidRPr="00557AAB">
        <w:rPr>
          <w:color w:val="000000"/>
        </w:rPr>
        <w:t>.</w:t>
      </w:r>
      <w:r>
        <w:rPr>
          <w:color w:val="000000"/>
        </w:rPr>
        <w:t xml:space="preserve"> </w:t>
      </w:r>
      <w:r w:rsidR="009B14A5">
        <w:rPr>
          <w:color w:val="000000"/>
        </w:rPr>
        <w:t>Этот</w:t>
      </w:r>
      <w:r w:rsidR="00C45BDE">
        <w:rPr>
          <w:color w:val="000000"/>
        </w:rPr>
        <w:t xml:space="preserve"> </w:t>
      </w:r>
      <w:r w:rsidR="00B3429E">
        <w:rPr>
          <w:color w:val="000000"/>
        </w:rPr>
        <w:t>метод</w:t>
      </w:r>
      <w:r>
        <w:rPr>
          <w:color w:val="000000"/>
        </w:rPr>
        <w:t xml:space="preserve"> может быть использован для </w:t>
      </w:r>
      <w:r w:rsidR="009B14A5">
        <w:rPr>
          <w:color w:val="000000"/>
        </w:rPr>
        <w:t>снижения</w:t>
      </w:r>
      <w:r>
        <w:rPr>
          <w:color w:val="000000"/>
        </w:rPr>
        <w:t xml:space="preserve"> вклада шума</w:t>
      </w:r>
      <w:r w:rsidR="00C45BDE">
        <w:rPr>
          <w:color w:val="000000"/>
        </w:rPr>
        <w:t xml:space="preserve"> </w:t>
      </w:r>
      <w:r w:rsidR="003B578F">
        <w:rPr>
          <w:color w:val="000000"/>
        </w:rPr>
        <w:fldChar w:fldCharType="begin"/>
      </w:r>
      <w:r w:rsidR="003B578F">
        <w:rPr>
          <w:color w:val="000000"/>
        </w:rPr>
        <w:instrText xml:space="preserve"> ADDIN EN.CITE &lt;EndNote&gt;&lt;Cite&gt;&lt;Author&gt;Chlebda&lt;/Author&gt;&lt;Year&gt;2018&lt;/Year&gt;&lt;RecNum&gt;294&lt;/RecNum&gt;&lt;DisplayText&gt;[2]&lt;/DisplayText&gt;&lt;record&gt;&lt;rec-number&gt;294&lt;/rec-number&gt;&lt;foreign-keys&gt;&lt;key app="EN" db-id="50wepp5w79ssweewd5y5p22xt95awaptfewp" timestamp="1730373201"&gt;294&lt;/key&gt;&lt;/foreign-keys&gt;&lt;ref-type name="Journal Article"&gt;17&lt;/ref-type&gt;&lt;contributors&gt;&lt;authors&gt;&lt;author&gt;Chlebda, Damian K.&lt;/author&gt;&lt;author&gt;Jodłowski, Przemysław J.&lt;/author&gt;&lt;author&gt;Jędrzejczyk, Roman J.&lt;/author&gt;&lt;author&gt;Łojewska, Joanna&lt;/author&gt;&lt;/authors&gt;&lt;/contributors&gt;&lt;titles&gt;&lt;title&gt;Generalised two-dimensional correlation analysis of the Co, Ce, and Pd mixed oxide catalytic systems for methane combustion using in situ infrared spectroscopy&lt;/title&gt;&lt;secondary-title&gt;Spectrochimica Acta Part A: Molecular and Biomolecular Spectroscopy&lt;/secondary-title&gt;&lt;/titles&gt;&lt;periodical&gt;&lt;full-title&gt;Spectrochimica Acta Part A: Molecular and Biomolecular Spectroscopy&lt;/full-title&gt;&lt;/periodical&gt;&lt;pages&gt;202-210&lt;/pages&gt;&lt;volume&gt;192&lt;/volume&gt;&lt;keywords&gt;&lt;keyword&gt;Methane combustion&lt;/keyword&gt;&lt;keyword&gt;FTIR&lt;/keyword&gt;&lt;keyword&gt;2D correlation spectroscopy&lt;/keyword&gt;&lt;keyword&gt;Metal oxide&lt;/keyword&gt;&lt;/keywords&gt;&lt;dates&gt;&lt;year&gt;2018&lt;/year&gt;&lt;pub-dates&gt;&lt;date&gt;2018/03/05/&lt;/date&gt;&lt;/pub-dates&gt;&lt;/dates&gt;&lt;isbn&gt;1386-1425&lt;/isbn&gt;&lt;urls&gt;&lt;related-urls&gt;&lt;url&gt;https://www.sciencedirect.com/science/article/pii/S1386142517309022&lt;/url&gt;&lt;/related-urls&gt;&lt;/urls&gt;&lt;electronic-resource-num&gt;https://doi.org/10.1016/j.saa.2017.11.020&lt;/electronic-resource-num&gt;&lt;/record&gt;&lt;/Cite&gt;&lt;/EndNote&gt;</w:instrText>
      </w:r>
      <w:r w:rsidR="003B578F">
        <w:rPr>
          <w:color w:val="000000"/>
        </w:rPr>
        <w:fldChar w:fldCharType="separate"/>
      </w:r>
      <w:r w:rsidR="003B578F">
        <w:rPr>
          <w:noProof/>
          <w:color w:val="000000"/>
        </w:rPr>
        <w:t>[2]</w:t>
      </w:r>
      <w:r w:rsidR="003B578F">
        <w:rPr>
          <w:color w:val="000000"/>
        </w:rPr>
        <w:fldChar w:fldCharType="end"/>
      </w:r>
      <w:r w:rsidR="009B14A5">
        <w:rPr>
          <w:color w:val="000000"/>
        </w:rPr>
        <w:t xml:space="preserve">, однако на сегодняшний момент нет примеров использования </w:t>
      </w:r>
      <w:r w:rsidR="009B14A5" w:rsidRPr="00557AAB">
        <w:rPr>
          <w:color w:val="000000"/>
        </w:rPr>
        <w:t>2D-COS</w:t>
      </w:r>
      <w:r w:rsidR="009B14A5">
        <w:rPr>
          <w:color w:val="000000"/>
        </w:rPr>
        <w:t xml:space="preserve"> для повышения </w:t>
      </w:r>
      <w:proofErr w:type="spellStart"/>
      <w:r w:rsidR="00E3701B">
        <w:rPr>
          <w:color w:val="000000"/>
        </w:rPr>
        <w:t>прецизионности</w:t>
      </w:r>
      <w:proofErr w:type="spellEnd"/>
      <w:r w:rsidR="00E3701B">
        <w:rPr>
          <w:color w:val="000000"/>
        </w:rPr>
        <w:t xml:space="preserve"> измерений.</w:t>
      </w:r>
    </w:p>
    <w:p w14:paraId="255259B2" w14:textId="12803E88" w:rsidR="008C7D07" w:rsidRDefault="005A3DCD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</w:t>
      </w:r>
      <w:r w:rsidR="008F01C8" w:rsidRPr="008F01C8">
        <w:rPr>
          <w:color w:val="000000"/>
        </w:rPr>
        <w:t>абота посвящена использованию 2D-C</w:t>
      </w:r>
      <w:r w:rsidR="0097354C">
        <w:rPr>
          <w:color w:val="000000"/>
          <w:lang w:val="en-US"/>
        </w:rPr>
        <w:t>O</w:t>
      </w:r>
      <w:r w:rsidR="008F01C8" w:rsidRPr="008F01C8">
        <w:rPr>
          <w:color w:val="000000"/>
        </w:rPr>
        <w:t>S для</w:t>
      </w:r>
      <w:r w:rsidR="003E1CA0">
        <w:rPr>
          <w:color w:val="000000"/>
        </w:rPr>
        <w:t xml:space="preserve"> </w:t>
      </w:r>
      <w:r w:rsidR="008F01C8" w:rsidRPr="008F01C8">
        <w:rPr>
          <w:color w:val="000000"/>
        </w:rPr>
        <w:t>фильтрации шума в спектрах поглощения</w:t>
      </w:r>
      <w:r w:rsidR="00C45BDE">
        <w:rPr>
          <w:color w:val="000000"/>
        </w:rPr>
        <w:t xml:space="preserve"> при</w:t>
      </w:r>
      <w:r w:rsidR="008F01C8" w:rsidRPr="008F01C8">
        <w:rPr>
          <w:color w:val="000000"/>
        </w:rPr>
        <w:t xml:space="preserve"> использовани</w:t>
      </w:r>
      <w:r w:rsidR="00C45BDE">
        <w:rPr>
          <w:color w:val="000000"/>
        </w:rPr>
        <w:t>и</w:t>
      </w:r>
      <w:r w:rsidR="008F01C8" w:rsidRPr="008F01C8">
        <w:rPr>
          <w:color w:val="000000"/>
        </w:rPr>
        <w:t xml:space="preserve"> концентрации как внешнего возмущения</w:t>
      </w:r>
      <w:r w:rsidR="002E2A3F">
        <w:rPr>
          <w:color w:val="000000"/>
        </w:rPr>
        <w:t>.</w:t>
      </w:r>
      <w:r w:rsidR="008F01C8">
        <w:rPr>
          <w:color w:val="000000"/>
        </w:rPr>
        <w:t xml:space="preserve"> </w:t>
      </w:r>
      <w:r w:rsidR="002E2A3F">
        <w:rPr>
          <w:color w:val="000000"/>
        </w:rPr>
        <w:t>У</w:t>
      </w:r>
      <w:r w:rsidR="008F01C8" w:rsidRPr="008F01C8">
        <w:rPr>
          <w:color w:val="000000"/>
        </w:rPr>
        <w:t>величени</w:t>
      </w:r>
      <w:r w:rsidR="008F01C8">
        <w:rPr>
          <w:color w:val="000000"/>
        </w:rPr>
        <w:t>е</w:t>
      </w:r>
      <w:r w:rsidR="008F01C8" w:rsidRPr="008F01C8">
        <w:rPr>
          <w:color w:val="000000"/>
        </w:rPr>
        <w:t xml:space="preserve"> концентрации исследуемого вещества</w:t>
      </w:r>
      <w:r w:rsidR="008F01C8">
        <w:rPr>
          <w:color w:val="000000"/>
        </w:rPr>
        <w:t xml:space="preserve"> </w:t>
      </w:r>
      <w:r w:rsidR="00D358CA">
        <w:rPr>
          <w:color w:val="000000"/>
        </w:rPr>
        <w:t>(</w:t>
      </w:r>
      <w:r w:rsidR="00094810">
        <w:rPr>
          <w:color w:val="000000"/>
        </w:rPr>
        <w:t xml:space="preserve">при построении </w:t>
      </w:r>
      <w:proofErr w:type="spellStart"/>
      <w:r w:rsidR="00D358CA">
        <w:rPr>
          <w:color w:val="000000"/>
        </w:rPr>
        <w:t>градуировочн</w:t>
      </w:r>
      <w:r w:rsidR="00094810">
        <w:rPr>
          <w:color w:val="000000"/>
        </w:rPr>
        <w:t>ой</w:t>
      </w:r>
      <w:proofErr w:type="spellEnd"/>
      <w:r w:rsidR="00D358CA">
        <w:rPr>
          <w:color w:val="000000"/>
        </w:rPr>
        <w:t xml:space="preserve"> зависимост</w:t>
      </w:r>
      <w:r w:rsidR="00094810">
        <w:rPr>
          <w:color w:val="000000"/>
        </w:rPr>
        <w:t>и</w:t>
      </w:r>
      <w:r w:rsidR="00D358CA">
        <w:rPr>
          <w:color w:val="000000"/>
        </w:rPr>
        <w:t xml:space="preserve">) </w:t>
      </w:r>
      <w:r w:rsidR="008F01C8">
        <w:rPr>
          <w:color w:val="000000"/>
        </w:rPr>
        <w:t>приводит к пропорциональному увеличению</w:t>
      </w:r>
      <w:r w:rsidR="008F01C8" w:rsidRPr="008F01C8">
        <w:rPr>
          <w:color w:val="000000"/>
        </w:rPr>
        <w:t xml:space="preserve"> </w:t>
      </w:r>
      <w:r w:rsidR="00C535C3">
        <w:rPr>
          <w:color w:val="000000"/>
        </w:rPr>
        <w:t>оптической плотности</w:t>
      </w:r>
      <w:r w:rsidR="008F01C8" w:rsidRPr="008F01C8">
        <w:rPr>
          <w:color w:val="000000"/>
        </w:rPr>
        <w:t xml:space="preserve"> по закону </w:t>
      </w:r>
      <w:proofErr w:type="spellStart"/>
      <w:r w:rsidR="008F01C8" w:rsidRPr="008F01C8">
        <w:rPr>
          <w:color w:val="000000"/>
        </w:rPr>
        <w:t>Бугера</w:t>
      </w:r>
      <w:proofErr w:type="spellEnd"/>
      <w:r w:rsidR="008F01C8" w:rsidRPr="008F01C8">
        <w:rPr>
          <w:color w:val="000000"/>
        </w:rPr>
        <w:t>-Ламберта-</w:t>
      </w:r>
      <w:proofErr w:type="spellStart"/>
      <w:r w:rsidR="008F01C8" w:rsidRPr="008F01C8">
        <w:rPr>
          <w:color w:val="000000"/>
        </w:rPr>
        <w:t>Бера</w:t>
      </w:r>
      <w:proofErr w:type="spellEnd"/>
      <w:r w:rsidR="00C45BDE">
        <w:rPr>
          <w:color w:val="000000"/>
        </w:rPr>
        <w:t xml:space="preserve"> (БЛБ)</w:t>
      </w:r>
      <w:r w:rsidR="008F01C8">
        <w:rPr>
          <w:color w:val="000000"/>
        </w:rPr>
        <w:t xml:space="preserve">, </w:t>
      </w:r>
      <w:r w:rsidR="001E415F">
        <w:rPr>
          <w:color w:val="000000"/>
        </w:rPr>
        <w:t>при этом</w:t>
      </w:r>
      <w:r w:rsidR="00C45BDE" w:rsidRPr="00C45BDE">
        <w:rPr>
          <w:color w:val="000000"/>
        </w:rPr>
        <w:t xml:space="preserve"> форма</w:t>
      </w:r>
      <w:r w:rsidR="00C45BDE">
        <w:rPr>
          <w:color w:val="000000"/>
        </w:rPr>
        <w:t xml:space="preserve"> </w:t>
      </w:r>
      <w:r w:rsidR="00C45BDE" w:rsidRPr="00C45BDE">
        <w:rPr>
          <w:color w:val="000000"/>
        </w:rPr>
        <w:t>спектра остаётся неизменной</w:t>
      </w:r>
      <w:r w:rsidR="00C45BDE">
        <w:rPr>
          <w:color w:val="000000"/>
        </w:rPr>
        <w:t xml:space="preserve">. </w:t>
      </w:r>
      <w:r w:rsidR="00062E49">
        <w:rPr>
          <w:color w:val="000000"/>
        </w:rPr>
        <w:t>Э</w:t>
      </w:r>
      <w:r w:rsidR="008F01C8" w:rsidRPr="008F01C8">
        <w:rPr>
          <w:color w:val="000000"/>
        </w:rPr>
        <w:t xml:space="preserve">то позволяет отделить полосы </w:t>
      </w:r>
      <w:r w:rsidR="001E415F">
        <w:rPr>
          <w:color w:val="000000"/>
        </w:rPr>
        <w:t xml:space="preserve">поглощения </w:t>
      </w:r>
      <w:r w:rsidR="00062E49">
        <w:rPr>
          <w:color w:val="000000"/>
        </w:rPr>
        <w:t xml:space="preserve">целевого </w:t>
      </w:r>
      <w:proofErr w:type="spellStart"/>
      <w:r w:rsidR="00062E49">
        <w:rPr>
          <w:color w:val="000000"/>
        </w:rPr>
        <w:t>аналита</w:t>
      </w:r>
      <w:proofErr w:type="spellEnd"/>
      <w:r w:rsidR="00062E49">
        <w:rPr>
          <w:color w:val="000000"/>
        </w:rPr>
        <w:t xml:space="preserve"> </w:t>
      </w:r>
      <w:r w:rsidR="008F01C8" w:rsidRPr="008F01C8">
        <w:rPr>
          <w:color w:val="000000"/>
        </w:rPr>
        <w:t xml:space="preserve">от </w:t>
      </w:r>
      <w:r w:rsidR="00062E49">
        <w:rPr>
          <w:color w:val="000000"/>
        </w:rPr>
        <w:t>всех остальных факторов</w:t>
      </w:r>
      <w:r w:rsidR="00643D48">
        <w:rPr>
          <w:color w:val="000000"/>
        </w:rPr>
        <w:t xml:space="preserve"> и реконструировать спектры поглощения </w:t>
      </w:r>
      <w:r w:rsidR="007F1D43">
        <w:rPr>
          <w:color w:val="000000"/>
        </w:rPr>
        <w:t>из</w:t>
      </w:r>
      <w:r w:rsidR="00643D48">
        <w:rPr>
          <w:color w:val="000000"/>
        </w:rPr>
        <w:t xml:space="preserve"> коррел</w:t>
      </w:r>
      <w:r w:rsidR="00F27869">
        <w:rPr>
          <w:color w:val="000000"/>
        </w:rPr>
        <w:t xml:space="preserve">яционных карт </w:t>
      </w:r>
      <w:r w:rsidR="00383FE4">
        <w:rPr>
          <w:color w:val="000000"/>
        </w:rPr>
        <w:t>с</w:t>
      </w:r>
      <w:r w:rsidR="00F27869">
        <w:rPr>
          <w:color w:val="000000"/>
        </w:rPr>
        <w:t xml:space="preserve"> существенным снижением </w:t>
      </w:r>
      <w:r w:rsidR="00A228C0">
        <w:rPr>
          <w:color w:val="000000"/>
        </w:rPr>
        <w:t>погрешности</w:t>
      </w:r>
      <w:r w:rsidR="00F27869">
        <w:rPr>
          <w:color w:val="000000"/>
        </w:rPr>
        <w:t>.</w:t>
      </w:r>
      <w:r w:rsidR="008F01C8" w:rsidRPr="008F01C8">
        <w:rPr>
          <w:color w:val="000000"/>
        </w:rPr>
        <w:t xml:space="preserve"> </w:t>
      </w:r>
      <w:proofErr w:type="spellStart"/>
      <w:r w:rsidR="00F27869">
        <w:rPr>
          <w:color w:val="000000"/>
        </w:rPr>
        <w:t>Т.о</w:t>
      </w:r>
      <w:proofErr w:type="spellEnd"/>
      <w:r w:rsidR="00F27869">
        <w:rPr>
          <w:color w:val="000000"/>
        </w:rPr>
        <w:t>.</w:t>
      </w:r>
      <w:r w:rsidR="001F38F2">
        <w:rPr>
          <w:color w:val="000000"/>
        </w:rPr>
        <w:t xml:space="preserve"> </w:t>
      </w:r>
      <w:r w:rsidR="001F38F2" w:rsidRPr="008F01C8">
        <w:rPr>
          <w:color w:val="000000"/>
        </w:rPr>
        <w:t>2D-C</w:t>
      </w:r>
      <w:r w:rsidR="001F38F2">
        <w:rPr>
          <w:color w:val="000000"/>
          <w:lang w:val="en-US"/>
        </w:rPr>
        <w:t>O</w:t>
      </w:r>
      <w:r w:rsidR="001F38F2" w:rsidRPr="008F01C8">
        <w:rPr>
          <w:color w:val="000000"/>
        </w:rPr>
        <w:t xml:space="preserve">S </w:t>
      </w:r>
      <w:r w:rsidR="001F38F2">
        <w:rPr>
          <w:color w:val="000000"/>
        </w:rPr>
        <w:t xml:space="preserve">может быть использована </w:t>
      </w:r>
      <w:r w:rsidR="00383FE4">
        <w:rPr>
          <w:color w:val="000000"/>
        </w:rPr>
        <w:t>для</w:t>
      </w:r>
      <w:r w:rsidR="001F38F2">
        <w:rPr>
          <w:color w:val="000000"/>
        </w:rPr>
        <w:t xml:space="preserve"> </w:t>
      </w:r>
      <w:r w:rsidR="008C7D07">
        <w:rPr>
          <w:color w:val="000000"/>
        </w:rPr>
        <w:t xml:space="preserve">снижения шума в </w:t>
      </w:r>
      <w:proofErr w:type="spellStart"/>
      <w:r w:rsidR="008C7D07">
        <w:rPr>
          <w:color w:val="000000"/>
        </w:rPr>
        <w:t>градуировочных</w:t>
      </w:r>
      <w:proofErr w:type="spellEnd"/>
      <w:r w:rsidR="008C7D07">
        <w:rPr>
          <w:color w:val="000000"/>
        </w:rPr>
        <w:t xml:space="preserve"> зависимостях</w:t>
      </w:r>
      <w:r w:rsidR="00F27869">
        <w:rPr>
          <w:color w:val="000000"/>
        </w:rPr>
        <w:t xml:space="preserve"> при </w:t>
      </w:r>
      <w:r w:rsidR="006F4BA5">
        <w:rPr>
          <w:color w:val="000000"/>
        </w:rPr>
        <w:t>спектрофотометрическом</w:t>
      </w:r>
      <w:r w:rsidR="00F27869">
        <w:rPr>
          <w:color w:val="000000"/>
        </w:rPr>
        <w:t xml:space="preserve"> анализе</w:t>
      </w:r>
      <w:r w:rsidR="008C7D07">
        <w:rPr>
          <w:color w:val="000000"/>
        </w:rPr>
        <w:t xml:space="preserve">, </w:t>
      </w:r>
      <w:r w:rsidR="00C45BDE" w:rsidRPr="00C45BDE">
        <w:rPr>
          <w:color w:val="000000"/>
        </w:rPr>
        <w:t xml:space="preserve">повышая </w:t>
      </w:r>
      <w:proofErr w:type="spellStart"/>
      <w:r w:rsidR="008C7D07">
        <w:rPr>
          <w:color w:val="000000"/>
        </w:rPr>
        <w:t>прецизионность</w:t>
      </w:r>
      <w:proofErr w:type="spellEnd"/>
      <w:r w:rsidR="008C7D07">
        <w:rPr>
          <w:color w:val="000000"/>
        </w:rPr>
        <w:t xml:space="preserve"> и, </w:t>
      </w:r>
      <w:r w:rsidR="00343DF8">
        <w:rPr>
          <w:color w:val="000000"/>
        </w:rPr>
        <w:t>следовательно,</w:t>
      </w:r>
      <w:r w:rsidR="008C7D07">
        <w:rPr>
          <w:color w:val="000000"/>
        </w:rPr>
        <w:t xml:space="preserve"> </w:t>
      </w:r>
      <w:r w:rsidR="00C45BDE" w:rsidRPr="00C45BDE">
        <w:rPr>
          <w:color w:val="000000"/>
        </w:rPr>
        <w:t>чувствительность анализа</w:t>
      </w:r>
      <w:r w:rsidR="008F01C8" w:rsidRPr="008F01C8">
        <w:rPr>
          <w:color w:val="000000"/>
        </w:rPr>
        <w:t>.</w:t>
      </w:r>
      <w:r w:rsidR="008F01C8">
        <w:rPr>
          <w:color w:val="000000"/>
        </w:rPr>
        <w:t xml:space="preserve"> </w:t>
      </w:r>
    </w:p>
    <w:p w14:paraId="4578B70F" w14:textId="6A39F7D5" w:rsidR="00A228C0" w:rsidRDefault="008C7D07" w:rsidP="00802B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8F01C8" w:rsidRPr="008F01C8">
        <w:rPr>
          <w:color w:val="000000"/>
        </w:rPr>
        <w:t xml:space="preserve">ыведена зависимость, связывающая </w:t>
      </w:r>
      <w:r w:rsidR="0097354C" w:rsidRPr="008F01C8">
        <w:rPr>
          <w:color w:val="000000"/>
        </w:rPr>
        <w:t>параметры</w:t>
      </w:r>
      <w:r w:rsidR="008F01C8" w:rsidRPr="008F01C8">
        <w:rPr>
          <w:color w:val="000000"/>
        </w:rPr>
        <w:t xml:space="preserve"> </w:t>
      </w:r>
      <w:proofErr w:type="spellStart"/>
      <w:r w:rsidR="008F01C8" w:rsidRPr="008F01C8">
        <w:rPr>
          <w:color w:val="000000"/>
        </w:rPr>
        <w:t>гомоспектральной</w:t>
      </w:r>
      <w:proofErr w:type="spellEnd"/>
      <w:r w:rsidR="008F01C8" w:rsidRPr="008F01C8">
        <w:rPr>
          <w:color w:val="000000"/>
        </w:rPr>
        <w:t xml:space="preserve"> синхронной корреляционной </w:t>
      </w:r>
      <w:r w:rsidR="005C0D5B">
        <w:rPr>
          <w:color w:val="000000"/>
        </w:rPr>
        <w:t>карты</w:t>
      </w:r>
      <w:r w:rsidR="008F01C8" w:rsidRPr="008F01C8">
        <w:rPr>
          <w:color w:val="000000"/>
        </w:rPr>
        <w:t xml:space="preserve"> с </w:t>
      </w:r>
      <w:r w:rsidR="009C5EAA">
        <w:rPr>
          <w:color w:val="000000"/>
        </w:rPr>
        <w:t>молярным коэффициентом поглощения в</w:t>
      </w:r>
      <w:r w:rsidR="006F4BA5">
        <w:rPr>
          <w:color w:val="000000"/>
        </w:rPr>
        <w:t xml:space="preserve"> </w:t>
      </w:r>
      <w:r w:rsidR="008F01C8" w:rsidRPr="008F01C8">
        <w:rPr>
          <w:color w:val="000000"/>
        </w:rPr>
        <w:t>закон</w:t>
      </w:r>
      <w:r w:rsidR="009C5EAA">
        <w:rPr>
          <w:color w:val="000000"/>
        </w:rPr>
        <w:t>е</w:t>
      </w:r>
      <w:r w:rsidR="008F01C8" w:rsidRPr="008F01C8">
        <w:rPr>
          <w:color w:val="000000"/>
        </w:rPr>
        <w:t xml:space="preserve"> </w:t>
      </w:r>
      <w:r w:rsidR="000B5EF5">
        <w:rPr>
          <w:color w:val="000000"/>
        </w:rPr>
        <w:t xml:space="preserve">БЛБ, </w:t>
      </w:r>
      <m:oMath>
        <m:r>
          <m:rPr>
            <m:sty m:val="p"/>
          </m:rPr>
          <w:rPr>
            <w:rFonts w:ascii="Cambria Math" w:hAnsi="Cambria Math" w:cs="Cambria Math"/>
          </w:rPr>
          <m:t>ε</m:t>
        </m:r>
        <m:r>
          <m:rPr>
            <m:sty m:val="p"/>
          </m:rPr>
          <w:rPr>
            <w:rFonts w:ascii="Cambria Math" w:hAnsi="Cambria Math"/>
          </w:rPr>
          <m:t xml:space="preserve"> = 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n(n+1)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e>
            </m:rad>
          </m:num>
          <m:den>
            <m:r>
              <w:rPr>
                <w:rFonts w:ascii="Cambria Math" w:hAnsi="Cambria Math"/>
              </w:rPr>
              <m:t>(l∆c</m:t>
            </m:r>
          </m:den>
        </m:f>
      </m:oMath>
      <w:r>
        <w:t>)</w:t>
      </w:r>
      <w:r w:rsidR="00A64435">
        <w:t xml:space="preserve">, </w:t>
      </w:r>
      <w:r w:rsidR="008F01C8" w:rsidRPr="008F01C8">
        <w:rPr>
          <w:color w:val="000000"/>
        </w:rPr>
        <w:t xml:space="preserve">где </w:t>
      </w:r>
      <m:oMath>
        <m:r>
          <w:rPr>
            <w:rFonts w:ascii="Cambria Math" w:hAnsi="Cambria Math"/>
            <w:color w:val="000000"/>
          </w:rPr>
          <m:t>n</m:t>
        </m:r>
      </m:oMath>
      <w:r w:rsidR="008F01C8" w:rsidRPr="008F01C8">
        <w:rPr>
          <w:color w:val="000000"/>
        </w:rPr>
        <w:t xml:space="preserve"> — число растворов в серии, </w:t>
      </w:r>
      <m:oMath>
        <m:r>
          <m:rPr>
            <m:sty m:val="p"/>
          </m:rPr>
          <w:rPr>
            <w:rFonts w:ascii="Cambria Math" w:hAnsi="Cambria Math"/>
            <w:color w:val="000000"/>
          </w:rPr>
          <m:t>∆</m:t>
        </m:r>
        <m:r>
          <w:rPr>
            <w:rFonts w:ascii="Cambria Math" w:hAnsi="Cambria Math"/>
            <w:color w:val="000000"/>
          </w:rPr>
          <m:t>c</m:t>
        </m:r>
      </m:oMath>
      <w:r w:rsidR="008F01C8" w:rsidRPr="008F01C8">
        <w:rPr>
          <w:color w:val="000000"/>
        </w:rPr>
        <w:t xml:space="preserve"> </w:t>
      </w:r>
      <w:r w:rsidR="008F01C8">
        <w:rPr>
          <w:color w:val="000000"/>
        </w:rPr>
        <w:t>—</w:t>
      </w:r>
      <w:r w:rsidR="008F01C8" w:rsidRPr="008F01C8">
        <w:rPr>
          <w:color w:val="000000"/>
        </w:rPr>
        <w:t xml:space="preserve"> шаг концентрации для </w:t>
      </w:r>
      <w:r w:rsidR="00A64435">
        <w:rPr>
          <w:color w:val="000000"/>
        </w:rPr>
        <w:t>тестируемой</w:t>
      </w:r>
      <w:r w:rsidR="008F01C8" w:rsidRPr="008F01C8">
        <w:rPr>
          <w:color w:val="000000"/>
        </w:rPr>
        <w:t xml:space="preserve"> серии растворов, </w:t>
      </w: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I</m:t>
            </m:r>
          </m:e>
          <m:sub>
            <m:r>
              <w:rPr>
                <w:rFonts w:ascii="Cambria Math" w:hAnsi="Cambria Math"/>
                <w:color w:val="000000"/>
              </w:rPr>
              <m:t>λ</m:t>
            </m:r>
          </m:sub>
        </m:sSub>
      </m:oMath>
      <w:r w:rsidR="008F01C8" w:rsidRPr="008F01C8">
        <w:rPr>
          <w:color w:val="000000"/>
        </w:rPr>
        <w:t xml:space="preserve"> </w:t>
      </w:r>
      <w:r w:rsidR="008F01C8">
        <w:rPr>
          <w:color w:val="000000"/>
        </w:rPr>
        <w:t>—</w:t>
      </w:r>
      <w:r w:rsidR="008F01C8" w:rsidRPr="008F01C8">
        <w:rPr>
          <w:color w:val="000000"/>
        </w:rPr>
        <w:t xml:space="preserve"> значение интенсивности </w:t>
      </w:r>
      <w:proofErr w:type="spellStart"/>
      <w:r w:rsidR="008F01C8" w:rsidRPr="008F01C8">
        <w:rPr>
          <w:color w:val="000000"/>
        </w:rPr>
        <w:t>автопика</w:t>
      </w:r>
      <w:proofErr w:type="spellEnd"/>
      <w:r w:rsidR="008F01C8" w:rsidRPr="008F01C8">
        <w:rPr>
          <w:color w:val="000000"/>
        </w:rPr>
        <w:t xml:space="preserve"> на синхронной карте</w:t>
      </w:r>
      <w:r w:rsidR="00A64435">
        <w:rPr>
          <w:color w:val="000000"/>
        </w:rPr>
        <w:t xml:space="preserve"> </w:t>
      </w:r>
      <w:r w:rsidR="00A64435" w:rsidRPr="008F01C8">
        <w:rPr>
          <w:color w:val="000000"/>
        </w:rPr>
        <w:t>2D-C</w:t>
      </w:r>
      <w:r w:rsidR="00A64435">
        <w:rPr>
          <w:color w:val="000000"/>
          <w:lang w:val="en-US"/>
        </w:rPr>
        <w:t>O</w:t>
      </w:r>
      <w:r w:rsidR="00A64435" w:rsidRPr="008F01C8">
        <w:rPr>
          <w:color w:val="000000"/>
        </w:rPr>
        <w:t>S</w:t>
      </w:r>
      <w:r w:rsidR="008F01C8" w:rsidRPr="008F01C8">
        <w:rPr>
          <w:color w:val="000000"/>
        </w:rPr>
        <w:t xml:space="preserve">, </w:t>
      </w:r>
      <m:oMath>
        <m:r>
          <w:rPr>
            <w:rFonts w:ascii="Cambria Math" w:hAnsi="Cambria Math"/>
            <w:color w:val="000000"/>
          </w:rPr>
          <m:t>l</m:t>
        </m:r>
      </m:oMath>
      <w:r w:rsidR="008F01C8" w:rsidRPr="008F01C8">
        <w:rPr>
          <w:color w:val="000000"/>
        </w:rPr>
        <w:t xml:space="preserve"> </w:t>
      </w:r>
      <w:r w:rsidR="008F01C8">
        <w:rPr>
          <w:color w:val="000000"/>
        </w:rPr>
        <w:t>—</w:t>
      </w:r>
      <w:r w:rsidR="008F01C8" w:rsidRPr="008F01C8">
        <w:rPr>
          <w:color w:val="000000"/>
        </w:rPr>
        <w:t xml:space="preserve"> длина </w:t>
      </w:r>
      <w:r w:rsidR="00A64435">
        <w:rPr>
          <w:color w:val="000000"/>
        </w:rPr>
        <w:t xml:space="preserve">оптического </w:t>
      </w:r>
      <w:r w:rsidR="008E4026">
        <w:rPr>
          <w:color w:val="000000"/>
        </w:rPr>
        <w:t>пути</w:t>
      </w:r>
      <w:r w:rsidR="008F01C8" w:rsidRPr="008F01C8">
        <w:rPr>
          <w:color w:val="000000"/>
        </w:rPr>
        <w:t>.</w:t>
      </w:r>
      <w:r w:rsidR="00C31863">
        <w:rPr>
          <w:color w:val="000000"/>
        </w:rPr>
        <w:t xml:space="preserve"> </w:t>
      </w:r>
    </w:p>
    <w:p w14:paraId="6D4E1239" w14:textId="12C397BD" w:rsidR="001B7375" w:rsidRDefault="00DA286B" w:rsidP="00802B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Это</w:t>
      </w:r>
      <w:r w:rsidR="00102296" w:rsidRPr="00102296">
        <w:rPr>
          <w:color w:val="000000"/>
        </w:rPr>
        <w:t xml:space="preserve"> уравнение проверено на модель</w:t>
      </w:r>
      <w:r w:rsidR="00102296">
        <w:rPr>
          <w:color w:val="000000"/>
        </w:rPr>
        <w:t>ной</w:t>
      </w:r>
      <w:r w:rsidR="00102296" w:rsidRPr="00102296">
        <w:rPr>
          <w:color w:val="000000"/>
        </w:rPr>
        <w:t xml:space="preserve"> систем</w:t>
      </w:r>
      <w:r w:rsidR="00102296">
        <w:rPr>
          <w:color w:val="000000"/>
        </w:rPr>
        <w:t>е</w:t>
      </w:r>
      <w:r w:rsidR="00102296" w:rsidRPr="00102296">
        <w:rPr>
          <w:color w:val="000000"/>
        </w:rPr>
        <w:t xml:space="preserve"> </w:t>
      </w:r>
      <w:r w:rsidR="008E4026">
        <w:rPr>
          <w:color w:val="000000"/>
        </w:rPr>
        <w:t xml:space="preserve">водных растворов </w:t>
      </w:r>
      <w:r w:rsidR="00102296" w:rsidRPr="00102296">
        <w:rPr>
          <w:color w:val="000000"/>
        </w:rPr>
        <w:t>фенолов</w:t>
      </w:r>
      <w:r w:rsidR="008E4026">
        <w:rPr>
          <w:color w:val="000000"/>
        </w:rPr>
        <w:t>ого</w:t>
      </w:r>
      <w:r w:rsidR="00102296" w:rsidRPr="00102296">
        <w:rPr>
          <w:color w:val="000000"/>
        </w:rPr>
        <w:t xml:space="preserve"> красн</w:t>
      </w:r>
      <w:r w:rsidR="008E4026">
        <w:rPr>
          <w:color w:val="000000"/>
        </w:rPr>
        <w:t>ого</w:t>
      </w:r>
      <w:r w:rsidR="00102296" w:rsidRPr="00102296">
        <w:rPr>
          <w:color w:val="000000"/>
        </w:rPr>
        <w:t>.</w:t>
      </w:r>
      <w:r w:rsidR="00102296">
        <w:rPr>
          <w:color w:val="000000"/>
        </w:rPr>
        <w:t xml:space="preserve"> </w:t>
      </w:r>
      <w:r w:rsidR="00BB0911">
        <w:rPr>
          <w:color w:val="000000"/>
        </w:rPr>
        <w:t>И</w:t>
      </w:r>
      <w:r w:rsidR="00102296" w:rsidRPr="00102296">
        <w:rPr>
          <w:color w:val="000000"/>
        </w:rPr>
        <w:t xml:space="preserve">спользование </w:t>
      </w:r>
      <w:r w:rsidR="008E4026" w:rsidRPr="008F01C8">
        <w:rPr>
          <w:color w:val="000000"/>
        </w:rPr>
        <w:t>2D-C</w:t>
      </w:r>
      <w:r w:rsidR="008E4026">
        <w:rPr>
          <w:color w:val="000000"/>
          <w:lang w:val="en-US"/>
        </w:rPr>
        <w:t>O</w:t>
      </w:r>
      <w:r w:rsidR="008E4026" w:rsidRPr="008F01C8">
        <w:rPr>
          <w:color w:val="000000"/>
        </w:rPr>
        <w:t xml:space="preserve">S </w:t>
      </w:r>
      <w:r w:rsidR="00102296" w:rsidRPr="00102296">
        <w:rPr>
          <w:color w:val="000000"/>
        </w:rPr>
        <w:t>для спектров поглощени</w:t>
      </w:r>
      <w:r w:rsidR="003E1CA0">
        <w:rPr>
          <w:color w:val="000000"/>
        </w:rPr>
        <w:t>я</w:t>
      </w:r>
      <w:r>
        <w:rPr>
          <w:color w:val="000000"/>
        </w:rPr>
        <w:t xml:space="preserve">, полученных </w:t>
      </w:r>
      <w:r w:rsidR="00102296">
        <w:rPr>
          <w:color w:val="000000"/>
        </w:rPr>
        <w:t>в оптимальных условиях</w:t>
      </w:r>
      <w:r w:rsidR="00102296" w:rsidRPr="00102296">
        <w:rPr>
          <w:color w:val="000000"/>
        </w:rPr>
        <w:t xml:space="preserve"> </w:t>
      </w:r>
      <w:r w:rsidR="008E4026">
        <w:rPr>
          <w:color w:val="000000"/>
        </w:rPr>
        <w:t xml:space="preserve">спектрофотометрических измерений </w:t>
      </w:r>
      <w:r w:rsidR="001B7375">
        <w:rPr>
          <w:color w:val="000000"/>
        </w:rPr>
        <w:t xml:space="preserve">фенолового красного </w:t>
      </w:r>
      <w:r w:rsidR="00102296">
        <w:rPr>
          <w:color w:val="000000"/>
        </w:rPr>
        <w:t>(</w:t>
      </w:r>
      <w:r w:rsidR="00102296" w:rsidRPr="00445A85">
        <w:t>10</w:t>
      </w:r>
      <w:r w:rsidR="00BB0911">
        <w:rPr>
          <w:vertAlign w:val="superscript"/>
        </w:rPr>
        <w:t>–</w:t>
      </w:r>
      <w:r w:rsidR="00102296" w:rsidRPr="00D74C94">
        <w:rPr>
          <w:vertAlign w:val="superscript"/>
        </w:rPr>
        <w:t>6</w:t>
      </w:r>
      <w:r w:rsidR="00102296" w:rsidRPr="00445A85">
        <w:t>–10</w:t>
      </w:r>
      <w:r w:rsidR="00BB0911">
        <w:rPr>
          <w:vertAlign w:val="superscript"/>
        </w:rPr>
        <w:t>–</w:t>
      </w:r>
      <w:r w:rsidR="00102296" w:rsidRPr="00D74C94">
        <w:rPr>
          <w:vertAlign w:val="superscript"/>
        </w:rPr>
        <w:t>5</w:t>
      </w:r>
      <w:r w:rsidR="002529DE">
        <w:t> </w:t>
      </w:r>
      <w:r w:rsidR="00102296" w:rsidRPr="00445A85">
        <w:t>М</w:t>
      </w:r>
      <w:r w:rsidR="00102296" w:rsidRPr="00102296">
        <w:t xml:space="preserve">, </w:t>
      </w:r>
      <w:r w:rsidR="00102296">
        <w:rPr>
          <w:lang w:val="en-US"/>
        </w:rPr>
        <w:t>pH</w:t>
      </w:r>
      <w:r w:rsidR="00102296" w:rsidRPr="00102296">
        <w:t xml:space="preserve"> 9.0)</w:t>
      </w:r>
      <w:r>
        <w:t>,</w:t>
      </w:r>
      <w:r w:rsidR="00C45BDE">
        <w:t xml:space="preserve"> позволяет получить</w:t>
      </w:r>
      <w:r w:rsidR="00102296">
        <w:t xml:space="preserve"> </w:t>
      </w:r>
      <w:r w:rsidR="003E1CA0">
        <w:t>молярный коэффициент</w:t>
      </w:r>
      <w:r w:rsidR="008E4026">
        <w:t xml:space="preserve"> поглощения</w:t>
      </w:r>
      <w:r w:rsidR="00C45BDE">
        <w:t>,</w:t>
      </w:r>
      <w:r w:rsidR="003E1CA0">
        <w:t xml:space="preserve"> идентичный</w:t>
      </w:r>
      <w:r w:rsidR="003E1CA0">
        <w:rPr>
          <w:color w:val="000000"/>
        </w:rPr>
        <w:t xml:space="preserve"> </w:t>
      </w:r>
      <w:r w:rsidR="00C45BDE">
        <w:rPr>
          <w:color w:val="000000"/>
        </w:rPr>
        <w:t>значению, рассчитанн</w:t>
      </w:r>
      <w:r w:rsidR="008E4026">
        <w:rPr>
          <w:color w:val="000000"/>
        </w:rPr>
        <w:t>ому</w:t>
      </w:r>
      <w:r w:rsidR="00C45BDE">
        <w:rPr>
          <w:color w:val="000000"/>
        </w:rPr>
        <w:t xml:space="preserve"> по</w:t>
      </w:r>
      <w:r w:rsidR="003E1CA0" w:rsidRPr="00102296">
        <w:rPr>
          <w:color w:val="000000"/>
        </w:rPr>
        <w:t xml:space="preserve"> набор</w:t>
      </w:r>
      <w:r w:rsidR="00C45BDE">
        <w:rPr>
          <w:color w:val="000000"/>
        </w:rPr>
        <w:t>у</w:t>
      </w:r>
      <w:r w:rsidR="003E1CA0" w:rsidRPr="00102296">
        <w:rPr>
          <w:color w:val="000000"/>
        </w:rPr>
        <w:t xml:space="preserve"> спектров</w:t>
      </w:r>
      <w:r w:rsidR="001B7375">
        <w:rPr>
          <w:color w:val="000000"/>
        </w:rPr>
        <w:t xml:space="preserve">, что позволяет </w:t>
      </w:r>
      <w:r w:rsidR="000724C8">
        <w:rPr>
          <w:color w:val="000000"/>
        </w:rPr>
        <w:t>говорить об</w:t>
      </w:r>
      <w:r w:rsidR="001B7375">
        <w:rPr>
          <w:color w:val="000000"/>
        </w:rPr>
        <w:t xml:space="preserve"> </w:t>
      </w:r>
      <w:r w:rsidR="00383FE4">
        <w:rPr>
          <w:color w:val="000000"/>
        </w:rPr>
        <w:t>отсутстви</w:t>
      </w:r>
      <w:r w:rsidR="000724C8">
        <w:rPr>
          <w:color w:val="000000"/>
        </w:rPr>
        <w:t>и</w:t>
      </w:r>
      <w:r w:rsidR="001B7375">
        <w:rPr>
          <w:color w:val="000000"/>
        </w:rPr>
        <w:t xml:space="preserve"> </w:t>
      </w:r>
      <w:r w:rsidR="000724C8">
        <w:rPr>
          <w:color w:val="000000"/>
        </w:rPr>
        <w:t xml:space="preserve">значимой </w:t>
      </w:r>
      <w:r w:rsidR="001B7375">
        <w:rPr>
          <w:color w:val="000000"/>
        </w:rPr>
        <w:t xml:space="preserve">систематической погрешности при использовании </w:t>
      </w:r>
      <w:r w:rsidR="001B7375" w:rsidRPr="00AA6034">
        <w:rPr>
          <w:color w:val="000000"/>
        </w:rPr>
        <w:t>2</w:t>
      </w:r>
      <w:r w:rsidR="001B7375">
        <w:rPr>
          <w:color w:val="000000"/>
          <w:lang w:val="en-US"/>
        </w:rPr>
        <w:t>D</w:t>
      </w:r>
      <w:r w:rsidR="001B7375" w:rsidRPr="00AA6034">
        <w:rPr>
          <w:color w:val="000000"/>
        </w:rPr>
        <w:t>-</w:t>
      </w:r>
      <w:r w:rsidR="001B7375">
        <w:rPr>
          <w:color w:val="000000"/>
          <w:lang w:val="en-US"/>
        </w:rPr>
        <w:t>COS</w:t>
      </w:r>
      <w:r w:rsidR="003E1CA0">
        <w:rPr>
          <w:color w:val="000000"/>
        </w:rPr>
        <w:t xml:space="preserve">. </w:t>
      </w:r>
    </w:p>
    <w:p w14:paraId="260251A3" w14:textId="50145733" w:rsidR="00802BB6" w:rsidRDefault="00C45BDE" w:rsidP="00802B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="003E1CA0">
        <w:rPr>
          <w:color w:val="000000"/>
        </w:rPr>
        <w:t xml:space="preserve">ри </w:t>
      </w:r>
      <w:r w:rsidR="00912D8C">
        <w:rPr>
          <w:color w:val="000000"/>
        </w:rPr>
        <w:t>низких</w:t>
      </w:r>
      <w:r w:rsidR="002D6D42">
        <w:rPr>
          <w:color w:val="000000"/>
        </w:rPr>
        <w:t xml:space="preserve"> </w:t>
      </w:r>
      <w:r w:rsidR="003E1CA0">
        <w:rPr>
          <w:color w:val="000000"/>
        </w:rPr>
        <w:t>концентраци</w:t>
      </w:r>
      <w:r w:rsidR="00C31863">
        <w:rPr>
          <w:color w:val="000000"/>
        </w:rPr>
        <w:t>ях</w:t>
      </w:r>
      <w:r w:rsidR="003E1CA0">
        <w:rPr>
          <w:color w:val="000000"/>
        </w:rPr>
        <w:t xml:space="preserve"> </w:t>
      </w:r>
      <w:r w:rsidR="001B7375" w:rsidRPr="00102296">
        <w:rPr>
          <w:color w:val="000000"/>
        </w:rPr>
        <w:t>фенолов</w:t>
      </w:r>
      <w:r w:rsidR="001B7375">
        <w:rPr>
          <w:color w:val="000000"/>
        </w:rPr>
        <w:t>ого</w:t>
      </w:r>
      <w:r w:rsidR="001B7375" w:rsidRPr="00102296">
        <w:rPr>
          <w:color w:val="000000"/>
        </w:rPr>
        <w:t xml:space="preserve"> красн</w:t>
      </w:r>
      <w:r w:rsidR="001B7375">
        <w:rPr>
          <w:color w:val="000000"/>
        </w:rPr>
        <w:t xml:space="preserve">ого </w:t>
      </w:r>
      <w:r w:rsidR="002D6D42">
        <w:rPr>
          <w:color w:val="000000"/>
        </w:rPr>
        <w:t>(</w:t>
      </w:r>
      <w:r w:rsidR="003E1CA0" w:rsidRPr="00445A85">
        <w:t>10</w:t>
      </w:r>
      <w:r w:rsidR="00912D8C">
        <w:rPr>
          <w:vertAlign w:val="superscript"/>
        </w:rPr>
        <w:t>–</w:t>
      </w:r>
      <w:r w:rsidR="003E1CA0" w:rsidRPr="003E1CA0">
        <w:rPr>
          <w:vertAlign w:val="superscript"/>
        </w:rPr>
        <w:t>9</w:t>
      </w:r>
      <w:r w:rsidR="003E1CA0" w:rsidRPr="00445A85">
        <w:t>–10</w:t>
      </w:r>
      <w:r w:rsidR="00912D8C">
        <w:rPr>
          <w:vertAlign w:val="superscript"/>
        </w:rPr>
        <w:t>–</w:t>
      </w:r>
      <w:r w:rsidR="003E1CA0" w:rsidRPr="003E1CA0">
        <w:rPr>
          <w:vertAlign w:val="superscript"/>
        </w:rPr>
        <w:t>8</w:t>
      </w:r>
      <w:r w:rsidR="002529DE">
        <w:t> </w:t>
      </w:r>
      <w:r w:rsidR="003E1CA0" w:rsidRPr="00445A85">
        <w:t>М</w:t>
      </w:r>
      <w:r w:rsidR="002D6D42">
        <w:t>)</w:t>
      </w:r>
      <w:r w:rsidR="003E1CA0">
        <w:t xml:space="preserve"> спектр поглощения</w:t>
      </w:r>
      <w:r>
        <w:t xml:space="preserve">, </w:t>
      </w:r>
      <w:r w:rsidR="001B7375">
        <w:t>реконструированный</w:t>
      </w:r>
      <w:r>
        <w:t xml:space="preserve"> методом</w:t>
      </w:r>
      <w:r w:rsidR="00AA6034">
        <w:rPr>
          <w:color w:val="000000"/>
        </w:rPr>
        <w:t xml:space="preserve"> </w:t>
      </w:r>
      <w:r w:rsidR="00AA6034" w:rsidRPr="00AA6034">
        <w:rPr>
          <w:color w:val="000000"/>
        </w:rPr>
        <w:t>2</w:t>
      </w:r>
      <w:r w:rsidR="00AA6034">
        <w:rPr>
          <w:color w:val="000000"/>
          <w:lang w:val="en-US"/>
        </w:rPr>
        <w:t>D</w:t>
      </w:r>
      <w:r w:rsidR="00AA6034" w:rsidRPr="00AA6034">
        <w:rPr>
          <w:color w:val="000000"/>
        </w:rPr>
        <w:t>-</w:t>
      </w:r>
      <w:r w:rsidR="00AA6034">
        <w:rPr>
          <w:color w:val="000000"/>
          <w:lang w:val="en-US"/>
        </w:rPr>
        <w:t>COS</w:t>
      </w:r>
      <w:r>
        <w:rPr>
          <w:color w:val="000000"/>
        </w:rPr>
        <w:t>,</w:t>
      </w:r>
      <w:r w:rsidR="00AA6034">
        <w:rPr>
          <w:color w:val="000000"/>
        </w:rPr>
        <w:t xml:space="preserve"> </w:t>
      </w:r>
      <w:r w:rsidR="003E1CA0">
        <w:rPr>
          <w:color w:val="000000"/>
        </w:rPr>
        <w:t xml:space="preserve">характеризуется </w:t>
      </w:r>
      <w:r>
        <w:rPr>
          <w:color w:val="000000"/>
        </w:rPr>
        <w:t>отношением сигнал</w:t>
      </w:r>
      <w:r w:rsidRPr="00C45BDE">
        <w:rPr>
          <w:color w:val="000000"/>
        </w:rPr>
        <w:t>/</w:t>
      </w:r>
      <w:r>
        <w:rPr>
          <w:color w:val="000000"/>
        </w:rPr>
        <w:t>шум</w:t>
      </w:r>
      <w:r w:rsidR="00C31863">
        <w:rPr>
          <w:color w:val="000000"/>
        </w:rPr>
        <w:t>,</w:t>
      </w:r>
      <w:r>
        <w:rPr>
          <w:color w:val="000000"/>
        </w:rPr>
        <w:t xml:space="preserve"> </w:t>
      </w:r>
      <w:r w:rsidR="00AA6034">
        <w:rPr>
          <w:color w:val="000000"/>
        </w:rPr>
        <w:t xml:space="preserve">в </w:t>
      </w:r>
      <w:r w:rsidR="00C31863">
        <w:rPr>
          <w:color w:val="000000"/>
        </w:rPr>
        <w:t>20</w:t>
      </w:r>
      <w:r w:rsidR="00AA6034">
        <w:rPr>
          <w:color w:val="000000"/>
        </w:rPr>
        <w:t xml:space="preserve"> раз</w:t>
      </w:r>
      <w:r w:rsidR="00102296" w:rsidRPr="00102296">
        <w:rPr>
          <w:color w:val="000000"/>
        </w:rPr>
        <w:t xml:space="preserve"> </w:t>
      </w:r>
      <w:r>
        <w:rPr>
          <w:color w:val="000000"/>
        </w:rPr>
        <w:t xml:space="preserve">превосходящим значение, полученное </w:t>
      </w:r>
      <w:r w:rsidR="00102296" w:rsidRPr="00102296">
        <w:rPr>
          <w:color w:val="000000"/>
        </w:rPr>
        <w:t>усреднение</w:t>
      </w:r>
      <w:r w:rsidR="00AA6034">
        <w:rPr>
          <w:color w:val="000000"/>
        </w:rPr>
        <w:t>м</w:t>
      </w:r>
      <w:r>
        <w:rPr>
          <w:color w:val="000000"/>
        </w:rPr>
        <w:t xml:space="preserve"> </w:t>
      </w:r>
      <m:oMath>
        <m:r>
          <m:rPr>
            <m:sty m:val="p"/>
          </m:rPr>
          <w:rPr>
            <w:rFonts w:ascii="Cambria Math" w:hAnsi="Cambria Math" w:cs="Cambria Math"/>
          </w:rPr>
          <m:t>ε</m:t>
        </m:r>
      </m:oMath>
      <w:r>
        <w:t xml:space="preserve"> из закона БЛБ</w:t>
      </w:r>
      <w:r w:rsidR="00A8302C">
        <w:t xml:space="preserve"> для стандартного режима регистрации спектра</w:t>
      </w:r>
      <w:r w:rsidR="000B5EF5">
        <w:t xml:space="preserve">. </w:t>
      </w:r>
      <w:r w:rsidR="00A8302C">
        <w:rPr>
          <w:color w:val="000000"/>
        </w:rPr>
        <w:t xml:space="preserve">При </w:t>
      </w:r>
      <w:r w:rsidR="000B5EF5">
        <w:rPr>
          <w:color w:val="000000"/>
        </w:rPr>
        <w:t>существенном увеличении времени накопления</w:t>
      </w:r>
      <w:r w:rsidR="000B5EF5" w:rsidRPr="00AA6034">
        <w:rPr>
          <w:color w:val="000000"/>
        </w:rPr>
        <w:t xml:space="preserve"> </w:t>
      </w:r>
      <w:r w:rsidR="002D6D42">
        <w:rPr>
          <w:color w:val="000000"/>
        </w:rPr>
        <w:t xml:space="preserve">данных </w:t>
      </w:r>
      <w:r w:rsidR="000B5EF5">
        <w:rPr>
          <w:color w:val="000000"/>
        </w:rPr>
        <w:t>(1 с</w:t>
      </w:r>
      <w:r w:rsidR="000B5EF5" w:rsidRPr="000B5EF5">
        <w:rPr>
          <w:color w:val="000000"/>
        </w:rPr>
        <w:t xml:space="preserve"> </w:t>
      </w:r>
      <w:r w:rsidR="000B5EF5">
        <w:rPr>
          <w:color w:val="000000"/>
        </w:rPr>
        <w:t>на кажды</w:t>
      </w:r>
      <w:r w:rsidR="00C049E9">
        <w:rPr>
          <w:color w:val="000000"/>
        </w:rPr>
        <w:t>й шаг монохроматора</w:t>
      </w:r>
      <w:r w:rsidR="000B5EF5">
        <w:rPr>
          <w:color w:val="000000"/>
        </w:rPr>
        <w:t xml:space="preserve"> 0.5 </w:t>
      </w:r>
      <w:proofErr w:type="spellStart"/>
      <w:r w:rsidR="000B5EF5">
        <w:rPr>
          <w:color w:val="000000"/>
        </w:rPr>
        <w:t>нм</w:t>
      </w:r>
      <w:proofErr w:type="spellEnd"/>
      <w:r w:rsidR="000B5EF5">
        <w:rPr>
          <w:color w:val="000000"/>
        </w:rPr>
        <w:t>)</w:t>
      </w:r>
      <w:r w:rsidR="00C904A2">
        <w:rPr>
          <w:color w:val="000000"/>
        </w:rPr>
        <w:t xml:space="preserve">, </w:t>
      </w:r>
      <w:r w:rsidR="00A8302C" w:rsidRPr="008F01C8">
        <w:rPr>
          <w:color w:val="000000"/>
        </w:rPr>
        <w:t>2D-C</w:t>
      </w:r>
      <w:r w:rsidR="00A8302C">
        <w:rPr>
          <w:color w:val="000000"/>
          <w:lang w:val="en-US"/>
        </w:rPr>
        <w:t>O</w:t>
      </w:r>
      <w:r w:rsidR="00A8302C" w:rsidRPr="008F01C8">
        <w:rPr>
          <w:color w:val="000000"/>
        </w:rPr>
        <w:t xml:space="preserve">S </w:t>
      </w:r>
      <w:r w:rsidR="00CA53E7">
        <w:rPr>
          <w:color w:val="000000"/>
        </w:rPr>
        <w:t>тем не менее</w:t>
      </w:r>
      <w:r w:rsidR="00A8302C">
        <w:rPr>
          <w:color w:val="000000"/>
        </w:rPr>
        <w:t xml:space="preserve"> показывает </w:t>
      </w:r>
      <w:r w:rsidR="00684468">
        <w:rPr>
          <w:color w:val="000000"/>
        </w:rPr>
        <w:t>улучшение отношения сигнал</w:t>
      </w:r>
      <w:r w:rsidR="00684468" w:rsidRPr="00684468">
        <w:rPr>
          <w:color w:val="000000"/>
        </w:rPr>
        <w:t>/</w:t>
      </w:r>
      <w:r w:rsidR="00684468">
        <w:rPr>
          <w:color w:val="000000"/>
        </w:rPr>
        <w:t>шум</w:t>
      </w:r>
      <w:r w:rsidR="00A8302C">
        <w:rPr>
          <w:color w:val="000000"/>
        </w:rPr>
        <w:t xml:space="preserve"> </w:t>
      </w:r>
      <w:r w:rsidR="00C0191C">
        <w:rPr>
          <w:color w:val="000000"/>
        </w:rPr>
        <w:t xml:space="preserve">почти </w:t>
      </w:r>
      <w:r w:rsidR="00A8302C">
        <w:rPr>
          <w:color w:val="000000"/>
        </w:rPr>
        <w:t xml:space="preserve">в </w:t>
      </w:r>
      <w:r w:rsidR="001310EA">
        <w:rPr>
          <w:color w:val="000000"/>
        </w:rPr>
        <w:t>3</w:t>
      </w:r>
      <w:r w:rsidR="002529DE">
        <w:rPr>
          <w:color w:val="000000"/>
        </w:rPr>
        <w:t xml:space="preserve"> раз</w:t>
      </w:r>
      <w:r w:rsidR="001310EA">
        <w:rPr>
          <w:color w:val="000000"/>
        </w:rPr>
        <w:t>а</w:t>
      </w:r>
      <w:r w:rsidR="00684468">
        <w:rPr>
          <w:color w:val="000000"/>
        </w:rPr>
        <w:t>,</w:t>
      </w:r>
      <w:r>
        <w:rPr>
          <w:color w:val="000000"/>
        </w:rPr>
        <w:t xml:space="preserve"> </w:t>
      </w:r>
      <w:r w:rsidR="00A8302C">
        <w:rPr>
          <w:color w:val="000000"/>
        </w:rPr>
        <w:t>при этом</w:t>
      </w:r>
      <w:r>
        <w:rPr>
          <w:color w:val="000000"/>
        </w:rPr>
        <w:t xml:space="preserve"> раз</w:t>
      </w:r>
      <w:r w:rsidR="00A8302C">
        <w:rPr>
          <w:color w:val="000000"/>
        </w:rPr>
        <w:t>личие</w:t>
      </w:r>
      <w:r>
        <w:rPr>
          <w:color w:val="000000"/>
        </w:rPr>
        <w:t xml:space="preserve"> в значениях</w:t>
      </w:r>
      <w:r w:rsidR="006E4948">
        <w:rPr>
          <w:color w:val="000000"/>
        </w:rPr>
        <w:t xml:space="preserve"> молярного коэффициента поглощения</w:t>
      </w:r>
      <w:r w:rsidR="00684468">
        <w:rPr>
          <w:color w:val="000000"/>
        </w:rPr>
        <w:t>, вычисленны</w:t>
      </w:r>
      <w:r>
        <w:rPr>
          <w:color w:val="000000"/>
        </w:rPr>
        <w:t>х</w:t>
      </w:r>
      <w:r w:rsidR="00684468">
        <w:rPr>
          <w:color w:val="000000"/>
        </w:rPr>
        <w:t xml:space="preserve"> двумя способами</w:t>
      </w:r>
      <w:r w:rsidR="00684468" w:rsidRPr="00684468">
        <w:rPr>
          <w:color w:val="000000"/>
        </w:rPr>
        <w:t>,</w:t>
      </w:r>
      <w:r w:rsidR="00684468">
        <w:rPr>
          <w:color w:val="000000"/>
        </w:rPr>
        <w:t xml:space="preserve"> </w:t>
      </w:r>
      <w:r>
        <w:rPr>
          <w:color w:val="000000"/>
        </w:rPr>
        <w:t>составляет</w:t>
      </w:r>
      <w:r w:rsidR="00684468" w:rsidRPr="00684468">
        <w:rPr>
          <w:color w:val="000000"/>
        </w:rPr>
        <w:t xml:space="preserve"> </w:t>
      </w:r>
      <w:r w:rsidR="00684468">
        <w:rPr>
          <w:color w:val="000000"/>
        </w:rPr>
        <w:t>6%</w:t>
      </w:r>
      <w:r w:rsidR="005C1053">
        <w:rPr>
          <w:color w:val="000000"/>
        </w:rPr>
        <w:t>.</w:t>
      </w:r>
    </w:p>
    <w:p w14:paraId="6083ACB7" w14:textId="21C93004" w:rsidR="00684468" w:rsidRPr="009855DD" w:rsidRDefault="00EB1F49" w:rsidP="006844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04B99F0" w14:textId="77777777" w:rsidR="00684468" w:rsidRPr="00684468" w:rsidRDefault="00684468" w:rsidP="006844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684468">
        <w:rPr>
          <w:noProof/>
          <w:lang w:val="en-US"/>
        </w:rPr>
        <w:t>1. Noda I., Dowrey A. E., Marcott C., Story G. M., Ozaki Y. Generalized Two-Dimensional Correlation Spectroscopy // Applied Spectroscopy. ‒ 2000. ‒ T. 54, № 7. ‒ C. 236A-248A.</w:t>
      </w:r>
    </w:p>
    <w:p w14:paraId="3486C755" w14:textId="1C23C07E" w:rsidR="00116478" w:rsidRPr="00684468" w:rsidRDefault="0068446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684468">
        <w:rPr>
          <w:noProof/>
          <w:lang w:val="en-US"/>
        </w:rPr>
        <w:t>2. Chlebda D. K., Jodłowski P. J., Jędrzejczyk R. J., Łojewska J. Generalised two-dimensional correlation analysis of the Co, Ce, and Pd mixed oxide catalytic systems for methane combustion using in situ infrared spectroscopy // Spectrochimica Acta Part A: Molecular and Biomolecular Spectroscopy. ‒ 2018. ‒ T. 192. ‒ C. 202-210.</w:t>
      </w:r>
    </w:p>
    <w:sectPr w:rsidR="00116478" w:rsidRPr="0068446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OST-Appearance-Order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wepp5w79ssweewd5y5p22xt95awaptfewp&quot;&gt;My EndNote Library&lt;record-ids&gt;&lt;item&gt;281&lt;/item&gt;&lt;item&gt;294&lt;/item&gt;&lt;/record-ids&gt;&lt;/item&gt;&lt;/Libraries&gt;"/>
  </w:docVars>
  <w:rsids>
    <w:rsidRoot w:val="00130241"/>
    <w:rsid w:val="00062E49"/>
    <w:rsid w:val="00063966"/>
    <w:rsid w:val="000724C8"/>
    <w:rsid w:val="00075D6E"/>
    <w:rsid w:val="00086081"/>
    <w:rsid w:val="0009449A"/>
    <w:rsid w:val="00094810"/>
    <w:rsid w:val="00094FD0"/>
    <w:rsid w:val="000B5EF5"/>
    <w:rsid w:val="000E334E"/>
    <w:rsid w:val="00101A1C"/>
    <w:rsid w:val="00102296"/>
    <w:rsid w:val="00103657"/>
    <w:rsid w:val="00106375"/>
    <w:rsid w:val="00107AA3"/>
    <w:rsid w:val="00116478"/>
    <w:rsid w:val="00130241"/>
    <w:rsid w:val="001310EA"/>
    <w:rsid w:val="001B7375"/>
    <w:rsid w:val="001E415F"/>
    <w:rsid w:val="001E61C2"/>
    <w:rsid w:val="001F0493"/>
    <w:rsid w:val="001F38F2"/>
    <w:rsid w:val="0022260A"/>
    <w:rsid w:val="002264EE"/>
    <w:rsid w:val="0023307C"/>
    <w:rsid w:val="002529DE"/>
    <w:rsid w:val="002C0D2E"/>
    <w:rsid w:val="002D6D42"/>
    <w:rsid w:val="002E2A3F"/>
    <w:rsid w:val="0031361E"/>
    <w:rsid w:val="00343DF8"/>
    <w:rsid w:val="00383FE4"/>
    <w:rsid w:val="00391C38"/>
    <w:rsid w:val="003B578F"/>
    <w:rsid w:val="003B76D6"/>
    <w:rsid w:val="003E1CA0"/>
    <w:rsid w:val="003E2601"/>
    <w:rsid w:val="003F4E6B"/>
    <w:rsid w:val="004A26A3"/>
    <w:rsid w:val="004F0EDF"/>
    <w:rsid w:val="00522BF1"/>
    <w:rsid w:val="00557AAB"/>
    <w:rsid w:val="00590166"/>
    <w:rsid w:val="005A3DCD"/>
    <w:rsid w:val="005C0D5B"/>
    <w:rsid w:val="005C1053"/>
    <w:rsid w:val="005D022B"/>
    <w:rsid w:val="005E5BE9"/>
    <w:rsid w:val="00643D48"/>
    <w:rsid w:val="00684468"/>
    <w:rsid w:val="0069427D"/>
    <w:rsid w:val="006E2282"/>
    <w:rsid w:val="006E4948"/>
    <w:rsid w:val="006F4BA5"/>
    <w:rsid w:val="006F7A19"/>
    <w:rsid w:val="007213E1"/>
    <w:rsid w:val="00726364"/>
    <w:rsid w:val="00733520"/>
    <w:rsid w:val="00736A84"/>
    <w:rsid w:val="007620C1"/>
    <w:rsid w:val="00775389"/>
    <w:rsid w:val="00797838"/>
    <w:rsid w:val="007A341F"/>
    <w:rsid w:val="007C36D8"/>
    <w:rsid w:val="007F1D43"/>
    <w:rsid w:val="007F2744"/>
    <w:rsid w:val="00802BB6"/>
    <w:rsid w:val="008931BE"/>
    <w:rsid w:val="008C67E3"/>
    <w:rsid w:val="008C7D07"/>
    <w:rsid w:val="008E4026"/>
    <w:rsid w:val="008F01C8"/>
    <w:rsid w:val="00912D8C"/>
    <w:rsid w:val="00914205"/>
    <w:rsid w:val="00921D45"/>
    <w:rsid w:val="009426C0"/>
    <w:rsid w:val="0097354C"/>
    <w:rsid w:val="00980A65"/>
    <w:rsid w:val="009855DD"/>
    <w:rsid w:val="009A66DB"/>
    <w:rsid w:val="009B14A5"/>
    <w:rsid w:val="009B2F80"/>
    <w:rsid w:val="009B3300"/>
    <w:rsid w:val="009C5EAA"/>
    <w:rsid w:val="009F3380"/>
    <w:rsid w:val="00A02163"/>
    <w:rsid w:val="00A228C0"/>
    <w:rsid w:val="00A314FE"/>
    <w:rsid w:val="00A64435"/>
    <w:rsid w:val="00A8302C"/>
    <w:rsid w:val="00AA6034"/>
    <w:rsid w:val="00AD7380"/>
    <w:rsid w:val="00B111B9"/>
    <w:rsid w:val="00B31C08"/>
    <w:rsid w:val="00B3429E"/>
    <w:rsid w:val="00BB0911"/>
    <w:rsid w:val="00BF36F8"/>
    <w:rsid w:val="00BF4622"/>
    <w:rsid w:val="00C0191C"/>
    <w:rsid w:val="00C049E9"/>
    <w:rsid w:val="00C31863"/>
    <w:rsid w:val="00C45BDE"/>
    <w:rsid w:val="00C535C3"/>
    <w:rsid w:val="00C844E2"/>
    <w:rsid w:val="00C904A2"/>
    <w:rsid w:val="00CA53E7"/>
    <w:rsid w:val="00CD00B1"/>
    <w:rsid w:val="00D22306"/>
    <w:rsid w:val="00D358CA"/>
    <w:rsid w:val="00D42542"/>
    <w:rsid w:val="00D8121C"/>
    <w:rsid w:val="00DA286B"/>
    <w:rsid w:val="00E22189"/>
    <w:rsid w:val="00E24DA4"/>
    <w:rsid w:val="00E3701B"/>
    <w:rsid w:val="00E74069"/>
    <w:rsid w:val="00E81D35"/>
    <w:rsid w:val="00EB1F49"/>
    <w:rsid w:val="00F2786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5CF18B0-5C52-45FB-A887-8F8F8BC5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B3429E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B3429E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B3429E"/>
    <w:p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B3429E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AbstractAffiliation">
    <w:name w:val="AbstractAffiliation"/>
    <w:rsid w:val="008F01C8"/>
    <w:rPr>
      <w:rFonts w:ascii="Arial" w:eastAsia="Times New Roman" w:hAnsi="Arial" w:cs="Times New Roman"/>
      <w:sz w:val="22"/>
      <w:lang w:val="en-US"/>
    </w:rPr>
  </w:style>
  <w:style w:type="character" w:styleId="ac">
    <w:name w:val="Subtle Emphasis"/>
    <w:basedOn w:val="a0"/>
    <w:uiPriority w:val="19"/>
    <w:qFormat/>
    <w:rsid w:val="001310E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Медведев</dc:creator>
  <cp:keywords/>
  <dc:description/>
  <cp:lastModifiedBy>Андрей Медведев</cp:lastModifiedBy>
  <cp:revision>2</cp:revision>
  <dcterms:created xsi:type="dcterms:W3CDTF">2025-03-03T19:59:00Z</dcterms:created>
  <dcterms:modified xsi:type="dcterms:W3CDTF">2025-03-03T19:59:00Z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